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Times New Roman" w:eastAsia="方正小标宋简体"/>
          <w:sz w:val="32"/>
          <w:szCs w:val="32"/>
        </w:rPr>
      </w:pPr>
      <w:r>
        <w:rPr>
          <w:rFonts w:ascii="方正小标宋简体" w:hAnsi="Times New Roman" w:eastAsia="方正小标宋简体"/>
          <w:sz w:val="32"/>
          <w:szCs w:val="32"/>
        </w:rPr>
        <w:t>202</w:t>
      </w:r>
      <w:r>
        <w:rPr>
          <w:rFonts w:hint="eastAsia" w:ascii="方正小标宋简体" w:hAnsi="Times New Roman" w:eastAsia="方正小标宋简体"/>
          <w:sz w:val="32"/>
          <w:szCs w:val="32"/>
          <w:lang w:val="en-US" w:eastAsia="zh-CN"/>
        </w:rPr>
        <w:t>4</w:t>
      </w:r>
      <w:r>
        <w:rPr>
          <w:rFonts w:ascii="方正小标宋简体" w:hAnsi="Times New Roman" w:eastAsia="方正小标宋简体"/>
          <w:sz w:val="32"/>
          <w:szCs w:val="32"/>
        </w:rPr>
        <w:t>年武威市中等职业学校技能大赛（学生组）</w:t>
      </w:r>
    </w:p>
    <w:p>
      <w:pPr>
        <w:spacing w:line="560" w:lineRule="exact"/>
        <w:jc w:val="center"/>
        <w:rPr>
          <w:rFonts w:hint="eastAsia" w:ascii="方正小标宋简体" w:hAnsi="Times New Roman" w:eastAsia="方正小标宋简体"/>
          <w:sz w:val="32"/>
          <w:szCs w:val="32"/>
        </w:rPr>
      </w:pPr>
      <w:r>
        <w:rPr>
          <w:rFonts w:hint="eastAsia" w:ascii="方正小标宋简体" w:hAnsi="Times New Roman" w:eastAsia="方正小标宋简体"/>
          <w:sz w:val="32"/>
          <w:szCs w:val="32"/>
          <w:lang w:val="en-US" w:eastAsia="zh-CN"/>
        </w:rPr>
        <w:t>农机检修</w:t>
      </w:r>
      <w:bookmarkStart w:id="0" w:name="_GoBack"/>
      <w:bookmarkEnd w:id="0"/>
      <w:r>
        <w:rPr>
          <w:rFonts w:hint="eastAsia" w:ascii="方正小标宋简体" w:hAnsi="Times New Roman" w:eastAsia="方正小标宋简体"/>
          <w:sz w:val="32"/>
          <w:szCs w:val="32"/>
        </w:rPr>
        <w:t>赛项</w:t>
      </w:r>
      <w:r>
        <w:rPr>
          <w:rFonts w:ascii="方正小标宋简体" w:hAnsi="Times New Roman" w:eastAsia="方正小标宋简体"/>
          <w:sz w:val="32"/>
          <w:szCs w:val="32"/>
        </w:rPr>
        <w:t>规程</w:t>
      </w:r>
    </w:p>
    <w:p>
      <w:pPr>
        <w:pStyle w:val="4"/>
        <w:bidi w:val="0"/>
        <w:rPr>
          <w:sz w:val="28"/>
          <w:szCs w:val="28"/>
        </w:rPr>
      </w:pPr>
      <w:r>
        <w:rPr>
          <w:sz w:val="28"/>
          <w:szCs w:val="28"/>
        </w:rPr>
        <w:t>一、赛项名称</w:t>
      </w:r>
    </w:p>
    <w:p>
      <w:pPr>
        <w:bidi w:val="0"/>
        <w:rPr>
          <w:sz w:val="28"/>
          <w:szCs w:val="28"/>
        </w:rPr>
      </w:pPr>
      <w:r>
        <w:rPr>
          <w:sz w:val="28"/>
          <w:szCs w:val="28"/>
        </w:rPr>
        <w:t>赛项名称：农机</w:t>
      </w:r>
      <w:r>
        <w:rPr>
          <w:rFonts w:hint="eastAsia"/>
          <w:sz w:val="28"/>
          <w:szCs w:val="28"/>
          <w:lang w:eastAsia="zh-CN"/>
        </w:rPr>
        <w:t>检</w:t>
      </w:r>
      <w:r>
        <w:rPr>
          <w:sz w:val="28"/>
          <w:szCs w:val="28"/>
        </w:rPr>
        <w:t>修</w:t>
      </w:r>
    </w:p>
    <w:p>
      <w:pPr>
        <w:bidi w:val="0"/>
        <w:rPr>
          <w:sz w:val="28"/>
          <w:szCs w:val="28"/>
        </w:rPr>
      </w:pPr>
      <w:r>
        <w:rPr>
          <w:sz w:val="28"/>
          <w:szCs w:val="28"/>
        </w:rPr>
        <w:t>赛项组别：中职组</w:t>
      </w:r>
    </w:p>
    <w:p>
      <w:pPr>
        <w:bidi w:val="0"/>
        <w:rPr>
          <w:sz w:val="28"/>
          <w:szCs w:val="28"/>
        </w:rPr>
      </w:pPr>
      <w:r>
        <w:rPr>
          <w:sz w:val="28"/>
          <w:szCs w:val="28"/>
        </w:rPr>
        <w:t>赛项归属产业：农林牧渔类</w:t>
      </w:r>
    </w:p>
    <w:p>
      <w:pPr>
        <w:pStyle w:val="4"/>
        <w:bidi w:val="0"/>
        <w:rPr>
          <w:sz w:val="28"/>
          <w:szCs w:val="28"/>
        </w:rPr>
      </w:pPr>
      <w:r>
        <w:rPr>
          <w:sz w:val="28"/>
          <w:szCs w:val="28"/>
        </w:rPr>
        <w:t>二、竞赛目的</w:t>
      </w:r>
    </w:p>
    <w:p>
      <w:pPr>
        <w:bidi w:val="0"/>
        <w:rPr>
          <w:sz w:val="28"/>
          <w:szCs w:val="28"/>
        </w:rPr>
      </w:pPr>
      <w:r>
        <w:rPr>
          <w:sz w:val="28"/>
          <w:szCs w:val="28"/>
        </w:rPr>
        <w:t>通过农机维修比赛，检验选手对轮式拖拉机、</w:t>
      </w:r>
      <w:r>
        <w:rPr>
          <w:rFonts w:hint="eastAsia"/>
          <w:sz w:val="28"/>
          <w:szCs w:val="28"/>
        </w:rPr>
        <w:t>轮式小麦</w:t>
      </w:r>
      <w:r>
        <w:rPr>
          <w:sz w:val="28"/>
          <w:szCs w:val="28"/>
        </w:rPr>
        <w:t>联合收割机、植保无人机等现代农机装备的故障诊断与排除</w:t>
      </w:r>
      <w:r>
        <w:rPr>
          <w:rFonts w:hint="eastAsia"/>
          <w:sz w:val="28"/>
          <w:szCs w:val="28"/>
        </w:rPr>
        <w:t>的</w:t>
      </w:r>
      <w:r>
        <w:rPr>
          <w:sz w:val="28"/>
          <w:szCs w:val="28"/>
        </w:rPr>
        <w:t>能力，为农业机械使用与维护及涉农类相关专业学生提供技能展示平台，提高学生的理论知识水平与实际操作技能水平，同时推动职业学校农业机械使用与维护等涉农类专业教育教学改革，加快农机高技能人才培养，促进“双师型”师资队伍培养和专业实训基地建设，为我</w:t>
      </w:r>
      <w:r>
        <w:rPr>
          <w:rFonts w:hint="eastAsia"/>
          <w:sz w:val="28"/>
          <w:szCs w:val="28"/>
        </w:rPr>
        <w:t>省</w:t>
      </w:r>
      <w:r>
        <w:rPr>
          <w:sz w:val="28"/>
          <w:szCs w:val="28"/>
        </w:rPr>
        <w:t>乡村振兴战略提供农业机械使用与维护专业人才。</w:t>
      </w:r>
    </w:p>
    <w:p>
      <w:pPr>
        <w:pStyle w:val="4"/>
        <w:bidi w:val="0"/>
        <w:rPr>
          <w:sz w:val="28"/>
          <w:szCs w:val="28"/>
        </w:rPr>
      </w:pPr>
      <w:r>
        <w:rPr>
          <w:sz w:val="28"/>
          <w:szCs w:val="28"/>
        </w:rPr>
        <w:t>三、竞赛内容</w:t>
      </w:r>
    </w:p>
    <w:p>
      <w:pPr>
        <w:bidi w:val="0"/>
        <w:rPr>
          <w:sz w:val="28"/>
          <w:szCs w:val="28"/>
        </w:rPr>
      </w:pPr>
      <w:r>
        <w:rPr>
          <w:sz w:val="28"/>
          <w:szCs w:val="28"/>
        </w:rPr>
        <w:t>本赛项采用技能操作竞赛。</w:t>
      </w:r>
    </w:p>
    <w:p>
      <w:pPr>
        <w:pStyle w:val="8"/>
        <w:spacing w:line="360" w:lineRule="auto"/>
        <w:ind w:firstLine="562" w:firstLineChars="200"/>
        <w:rPr>
          <w:rFonts w:hint="eastAsia" w:ascii="宋体" w:hAnsi="宋体" w:cs="宋体"/>
          <w:b/>
          <w:sz w:val="28"/>
          <w:szCs w:val="28"/>
        </w:rPr>
      </w:pPr>
      <w:r>
        <w:rPr>
          <w:rFonts w:hint="eastAsia" w:ascii="宋体" w:hAnsi="宋体" w:cs="宋体"/>
          <w:b/>
          <w:sz w:val="28"/>
          <w:szCs w:val="28"/>
        </w:rPr>
        <w:t>一</w:t>
      </w:r>
      <w:r>
        <w:rPr>
          <w:rFonts w:hint="eastAsia" w:ascii="宋体" w:hAnsi="宋体" w:cs="宋体"/>
          <w:b/>
          <w:sz w:val="28"/>
          <w:szCs w:val="28"/>
          <w:lang w:eastAsia="zh-CN"/>
        </w:rPr>
        <w:t>）</w:t>
      </w:r>
      <w:r>
        <w:rPr>
          <w:rFonts w:hint="eastAsia" w:ascii="宋体" w:hAnsi="宋体" w:cs="宋体"/>
          <w:b/>
          <w:sz w:val="28"/>
          <w:szCs w:val="28"/>
        </w:rPr>
        <w:t>：竞赛说明：</w:t>
      </w:r>
    </w:p>
    <w:p>
      <w:pPr>
        <w:pStyle w:val="8"/>
        <w:spacing w:line="360" w:lineRule="auto"/>
        <w:ind w:firstLine="560" w:firstLineChars="200"/>
        <w:rPr>
          <w:rFonts w:hint="eastAsia"/>
          <w:sz w:val="28"/>
          <w:szCs w:val="28"/>
        </w:rPr>
      </w:pPr>
      <w:r>
        <w:rPr>
          <w:rFonts w:hint="eastAsia"/>
          <w:sz w:val="28"/>
          <w:szCs w:val="28"/>
        </w:rPr>
        <w:t>1．要求选手在固定的工位上操作，</w:t>
      </w:r>
      <w:r>
        <w:rPr>
          <w:rFonts w:hint="eastAsia"/>
          <w:sz w:val="28"/>
          <w:szCs w:val="28"/>
          <w:lang w:eastAsia="zh-CN"/>
        </w:rPr>
        <w:t>设备</w:t>
      </w:r>
      <w:r>
        <w:rPr>
          <w:rFonts w:hint="eastAsia"/>
          <w:sz w:val="28"/>
          <w:szCs w:val="28"/>
        </w:rPr>
        <w:t>不允许移动。</w:t>
      </w:r>
    </w:p>
    <w:p>
      <w:pPr>
        <w:pStyle w:val="8"/>
        <w:spacing w:line="360" w:lineRule="auto"/>
        <w:ind w:firstLine="560" w:firstLineChars="200"/>
        <w:rPr>
          <w:rFonts w:hint="eastAsia"/>
          <w:sz w:val="28"/>
          <w:szCs w:val="28"/>
        </w:rPr>
      </w:pPr>
      <w:r>
        <w:rPr>
          <w:rFonts w:hint="eastAsia"/>
          <w:sz w:val="28"/>
          <w:szCs w:val="28"/>
        </w:rPr>
        <w:t>2．竞赛时严禁拆卸燃油高压供给系统。</w:t>
      </w:r>
    </w:p>
    <w:p>
      <w:pPr>
        <w:pStyle w:val="8"/>
        <w:spacing w:line="360" w:lineRule="auto"/>
        <w:ind w:firstLine="560" w:firstLineChars="200"/>
        <w:rPr>
          <w:rFonts w:hint="eastAsia"/>
          <w:sz w:val="28"/>
          <w:szCs w:val="28"/>
        </w:rPr>
      </w:pPr>
      <w:r>
        <w:rPr>
          <w:rFonts w:hint="eastAsia"/>
          <w:sz w:val="28"/>
          <w:szCs w:val="28"/>
        </w:rPr>
        <w:t>3．本模块满分100分</w:t>
      </w:r>
    </w:p>
    <w:p>
      <w:pPr>
        <w:pStyle w:val="8"/>
        <w:spacing w:line="360" w:lineRule="auto"/>
        <w:ind w:firstLine="560" w:firstLineChars="200"/>
        <w:rPr>
          <w:rFonts w:hint="eastAsia"/>
          <w:sz w:val="28"/>
          <w:szCs w:val="28"/>
        </w:rPr>
      </w:pPr>
      <w:r>
        <w:rPr>
          <w:rFonts w:hint="eastAsia"/>
          <w:sz w:val="28"/>
          <w:szCs w:val="28"/>
        </w:rPr>
        <w:t>4．竞赛时长</w:t>
      </w:r>
      <w:r>
        <w:rPr>
          <w:rFonts w:hint="eastAsia"/>
          <w:sz w:val="28"/>
          <w:szCs w:val="28"/>
          <w:lang w:val="en-US" w:eastAsia="zh-CN"/>
        </w:rPr>
        <w:t>60</w:t>
      </w:r>
      <w:r>
        <w:rPr>
          <w:rFonts w:hint="eastAsia"/>
          <w:sz w:val="28"/>
          <w:szCs w:val="28"/>
        </w:rPr>
        <w:t>分钟。</w:t>
      </w:r>
    </w:p>
    <w:p>
      <w:pPr>
        <w:snapToGrid w:val="0"/>
        <w:spacing w:line="360" w:lineRule="auto"/>
        <w:ind w:firstLine="562" w:firstLineChars="200"/>
        <w:rPr>
          <w:rFonts w:ascii="宋体" w:hAnsi="宋体" w:cs="宋体"/>
          <w:b/>
          <w:bCs/>
          <w:sz w:val="28"/>
          <w:szCs w:val="28"/>
        </w:rPr>
      </w:pPr>
      <w:r>
        <w:rPr>
          <w:rFonts w:hint="eastAsia" w:ascii="宋体" w:hAnsi="宋体" w:cs="宋体"/>
          <w:b/>
          <w:bCs/>
          <w:sz w:val="28"/>
          <w:szCs w:val="28"/>
        </w:rPr>
        <w:t>二</w:t>
      </w:r>
      <w:r>
        <w:rPr>
          <w:rFonts w:hint="eastAsia" w:ascii="宋体" w:hAnsi="宋体" w:cs="宋体"/>
          <w:b/>
          <w:bCs/>
          <w:sz w:val="28"/>
          <w:szCs w:val="28"/>
          <w:lang w:eastAsia="zh-CN"/>
        </w:rPr>
        <w:t>）</w:t>
      </w:r>
      <w:r>
        <w:rPr>
          <w:rFonts w:hint="eastAsia" w:ascii="宋体" w:hAnsi="宋体" w:cs="宋体"/>
          <w:b/>
          <w:bCs/>
          <w:sz w:val="28"/>
          <w:szCs w:val="28"/>
        </w:rPr>
        <w:t>、</w:t>
      </w:r>
      <w:r>
        <w:rPr>
          <w:rFonts w:hint="eastAsia" w:ascii="宋体" w:hAnsi="宋体" w:cs="宋体"/>
          <w:b/>
          <w:bCs/>
          <w:kern w:val="0"/>
          <w:sz w:val="28"/>
          <w:szCs w:val="28"/>
          <w:lang w:val="zh-CN" w:bidi="zh-CN"/>
        </w:rPr>
        <w:t>竞赛任务：</w:t>
      </w:r>
    </w:p>
    <w:p>
      <w:pPr>
        <w:snapToGrid w:val="0"/>
        <w:spacing w:line="360" w:lineRule="auto"/>
        <w:ind w:firstLine="562" w:firstLineChars="200"/>
        <w:rPr>
          <w:rFonts w:hint="eastAsia" w:ascii="宋体" w:hAnsi="宋体" w:cs="宋体"/>
          <w:b/>
          <w:sz w:val="28"/>
          <w:szCs w:val="28"/>
        </w:rPr>
      </w:pPr>
      <w:r>
        <w:rPr>
          <w:rFonts w:hint="eastAsia" w:ascii="宋体" w:hAnsi="宋体" w:cs="宋体"/>
          <w:b/>
          <w:sz w:val="28"/>
          <w:szCs w:val="28"/>
        </w:rPr>
        <w:t>任务1：前期准备工作（</w:t>
      </w:r>
      <w:r>
        <w:rPr>
          <w:rFonts w:hint="eastAsia" w:ascii="宋体" w:hAnsi="宋体" w:cs="宋体"/>
          <w:b/>
          <w:sz w:val="28"/>
          <w:szCs w:val="28"/>
          <w:lang w:val="en-US" w:eastAsia="zh-CN"/>
        </w:rPr>
        <w:t>15</w:t>
      </w:r>
      <w:r>
        <w:rPr>
          <w:rFonts w:hint="eastAsia" w:ascii="宋体" w:hAnsi="宋体" w:cs="宋体"/>
          <w:b/>
          <w:sz w:val="28"/>
          <w:szCs w:val="28"/>
        </w:rPr>
        <w:t>分）</w:t>
      </w:r>
    </w:p>
    <w:p>
      <w:pPr>
        <w:pStyle w:val="8"/>
        <w:ind w:firstLine="560" w:firstLineChars="200"/>
        <w:rPr>
          <w:rFonts w:hint="eastAsia"/>
          <w:sz w:val="28"/>
          <w:szCs w:val="28"/>
        </w:rPr>
      </w:pPr>
      <w:r>
        <w:rPr>
          <w:rFonts w:hint="eastAsia"/>
          <w:sz w:val="28"/>
          <w:szCs w:val="28"/>
        </w:rPr>
        <w:t>1．清洁确认工量具、检测仪器</w:t>
      </w:r>
    </w:p>
    <w:p>
      <w:pPr>
        <w:pStyle w:val="8"/>
        <w:ind w:firstLine="560" w:firstLineChars="200"/>
        <w:rPr>
          <w:rFonts w:hint="eastAsia"/>
          <w:sz w:val="28"/>
          <w:szCs w:val="28"/>
        </w:rPr>
      </w:pPr>
      <w:r>
        <w:rPr>
          <w:rFonts w:hint="eastAsia"/>
          <w:sz w:val="28"/>
          <w:szCs w:val="28"/>
        </w:rPr>
        <w:t>2．安装车轮挡块</w:t>
      </w:r>
    </w:p>
    <w:p>
      <w:pPr>
        <w:pStyle w:val="8"/>
        <w:ind w:firstLine="560" w:firstLineChars="200"/>
        <w:rPr>
          <w:rFonts w:hint="eastAsia"/>
          <w:sz w:val="28"/>
          <w:szCs w:val="28"/>
        </w:rPr>
      </w:pPr>
      <w:r>
        <w:rPr>
          <w:rFonts w:hint="eastAsia"/>
          <w:sz w:val="28"/>
          <w:szCs w:val="28"/>
        </w:rPr>
        <w:t>3．检查机油、冷却液、制动液、齿轮油、液压油液面</w:t>
      </w:r>
    </w:p>
    <w:p>
      <w:pPr>
        <w:pStyle w:val="8"/>
        <w:ind w:firstLine="560" w:firstLineChars="200"/>
        <w:rPr>
          <w:rFonts w:hint="eastAsia"/>
          <w:sz w:val="28"/>
          <w:szCs w:val="28"/>
        </w:rPr>
      </w:pPr>
      <w:r>
        <w:rPr>
          <w:rFonts w:hint="eastAsia"/>
          <w:sz w:val="28"/>
          <w:szCs w:val="28"/>
        </w:rPr>
        <w:t>4．检查轮胎气压</w:t>
      </w:r>
    </w:p>
    <w:p>
      <w:pPr>
        <w:pStyle w:val="8"/>
        <w:ind w:firstLine="560" w:firstLineChars="200"/>
        <w:rPr>
          <w:rFonts w:hint="eastAsia"/>
          <w:sz w:val="28"/>
          <w:szCs w:val="28"/>
        </w:rPr>
      </w:pPr>
      <w:r>
        <w:rPr>
          <w:rFonts w:hint="eastAsia" w:hAnsi="宋体" w:cs="宋体"/>
          <w:kern w:val="0"/>
          <w:sz w:val="28"/>
          <w:szCs w:val="28"/>
          <w:lang w:val="zh-CN" w:bidi="zh-CN"/>
        </w:rPr>
        <w:t>5．</w:t>
      </w:r>
      <w:r>
        <w:rPr>
          <w:rFonts w:hAnsi="宋体" w:cs="宋体"/>
          <w:kern w:val="0"/>
          <w:sz w:val="28"/>
          <w:szCs w:val="28"/>
          <w:lang w:val="zh-CN" w:bidi="zh-CN"/>
        </w:rPr>
        <w:t>完成任务后填写记录表</w:t>
      </w:r>
      <w:r>
        <w:rPr>
          <w:rFonts w:hint="eastAsia" w:hAnsi="宋体" w:cs="宋体"/>
          <w:kern w:val="0"/>
          <w:sz w:val="28"/>
          <w:szCs w:val="28"/>
          <w:lang w:bidi="zh-CN"/>
        </w:rPr>
        <w:t>1</w:t>
      </w:r>
    </w:p>
    <w:p>
      <w:pPr>
        <w:pStyle w:val="8"/>
        <w:ind w:firstLine="562" w:firstLineChars="200"/>
        <w:rPr>
          <w:rFonts w:hint="eastAsia"/>
          <w:b/>
          <w:sz w:val="28"/>
          <w:szCs w:val="28"/>
        </w:rPr>
      </w:pPr>
      <w:r>
        <w:rPr>
          <w:rFonts w:hint="eastAsia"/>
          <w:b/>
          <w:sz w:val="28"/>
          <w:szCs w:val="28"/>
        </w:rPr>
        <w:t>表1：</w:t>
      </w:r>
    </w:p>
    <w:p>
      <w:pPr>
        <w:pStyle w:val="8"/>
        <w:jc w:val="center"/>
        <w:rPr>
          <w:rFonts w:hint="eastAsia"/>
          <w:sz w:val="24"/>
          <w:szCs w:val="24"/>
        </w:rPr>
      </w:pPr>
      <w:r>
        <w:rPr>
          <w:rFonts w:hint="eastAsia"/>
          <w:sz w:val="24"/>
          <w:szCs w:val="24"/>
        </w:rPr>
        <w:t>轮胎气压检查记录表</w:t>
      </w:r>
    </w:p>
    <w:tbl>
      <w:tblPr>
        <w:tblStyle w:val="12"/>
        <w:tblW w:w="0" w:type="auto"/>
        <w:tblInd w:w="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2"/>
        <w:gridCol w:w="2218"/>
        <w:gridCol w:w="2024"/>
        <w:gridCol w:w="26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50" w:type="dxa"/>
            <w:gridSpan w:val="2"/>
            <w:vMerge w:val="restart"/>
            <w:noWrap w:val="0"/>
            <w:vAlign w:val="center"/>
          </w:tcPr>
          <w:p>
            <w:pPr>
              <w:pStyle w:val="8"/>
              <w:jc w:val="center"/>
              <w:rPr>
                <w:rFonts w:hint="eastAsia"/>
                <w:sz w:val="24"/>
                <w:szCs w:val="24"/>
              </w:rPr>
            </w:pPr>
            <w:r>
              <w:rPr>
                <w:rFonts w:hint="eastAsia"/>
                <w:sz w:val="24"/>
                <w:szCs w:val="24"/>
              </w:rPr>
              <w:t>项 目</w:t>
            </w:r>
          </w:p>
        </w:tc>
        <w:tc>
          <w:tcPr>
            <w:tcW w:w="4650" w:type="dxa"/>
            <w:gridSpan w:val="2"/>
            <w:noWrap w:val="0"/>
            <w:vAlign w:val="center"/>
          </w:tcPr>
          <w:p>
            <w:pPr>
              <w:pStyle w:val="8"/>
              <w:jc w:val="center"/>
              <w:rPr>
                <w:rFonts w:hint="eastAsia"/>
                <w:sz w:val="24"/>
                <w:szCs w:val="24"/>
              </w:rPr>
            </w:pPr>
            <w:r>
              <w:rPr>
                <w:rFonts w:hint="eastAsia"/>
                <w:sz w:val="24"/>
                <w:szCs w:val="24"/>
              </w:rPr>
              <w:t>检查值（KPa）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4350" w:type="dxa"/>
            <w:gridSpan w:val="2"/>
            <w:vMerge w:val="continue"/>
            <w:noWrap w:val="0"/>
            <w:vAlign w:val="center"/>
          </w:tcPr>
          <w:p>
            <w:pPr>
              <w:pStyle w:val="8"/>
              <w:jc w:val="center"/>
              <w:rPr>
                <w:rFonts w:hint="eastAsia"/>
                <w:sz w:val="24"/>
                <w:szCs w:val="24"/>
              </w:rPr>
            </w:pPr>
          </w:p>
        </w:tc>
        <w:tc>
          <w:tcPr>
            <w:tcW w:w="2024" w:type="dxa"/>
            <w:noWrap w:val="0"/>
            <w:vAlign w:val="center"/>
          </w:tcPr>
          <w:p>
            <w:pPr>
              <w:pStyle w:val="8"/>
              <w:jc w:val="center"/>
              <w:rPr>
                <w:rFonts w:hint="eastAsia"/>
                <w:sz w:val="24"/>
                <w:szCs w:val="24"/>
              </w:rPr>
            </w:pPr>
            <w:r>
              <w:rPr>
                <w:rFonts w:hint="eastAsia"/>
                <w:sz w:val="24"/>
                <w:szCs w:val="24"/>
              </w:rPr>
              <w:t>前 轮</w:t>
            </w:r>
          </w:p>
        </w:tc>
        <w:tc>
          <w:tcPr>
            <w:tcW w:w="2626" w:type="dxa"/>
            <w:noWrap w:val="0"/>
            <w:vAlign w:val="center"/>
          </w:tcPr>
          <w:p>
            <w:pPr>
              <w:pStyle w:val="8"/>
              <w:jc w:val="center"/>
              <w:rPr>
                <w:rFonts w:hint="eastAsia"/>
                <w:sz w:val="24"/>
                <w:szCs w:val="24"/>
              </w:rPr>
            </w:pPr>
            <w:r>
              <w:rPr>
                <w:rFonts w:hint="eastAsia"/>
                <w:sz w:val="24"/>
                <w:szCs w:val="24"/>
              </w:rPr>
              <w:t>后 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32" w:type="dxa"/>
            <w:vMerge w:val="restart"/>
            <w:noWrap w:val="0"/>
            <w:vAlign w:val="center"/>
          </w:tcPr>
          <w:p>
            <w:pPr>
              <w:pStyle w:val="8"/>
              <w:jc w:val="center"/>
              <w:rPr>
                <w:rFonts w:hint="eastAsia"/>
                <w:sz w:val="24"/>
                <w:szCs w:val="24"/>
              </w:rPr>
            </w:pPr>
            <w:r>
              <w:rPr>
                <w:rFonts w:hint="eastAsia"/>
                <w:sz w:val="24"/>
                <w:szCs w:val="24"/>
              </w:rPr>
              <w:t>检查值</w:t>
            </w:r>
          </w:p>
        </w:tc>
        <w:tc>
          <w:tcPr>
            <w:tcW w:w="2218" w:type="dxa"/>
            <w:noWrap w:val="0"/>
            <w:vAlign w:val="center"/>
          </w:tcPr>
          <w:p>
            <w:pPr>
              <w:pStyle w:val="8"/>
              <w:jc w:val="center"/>
              <w:rPr>
                <w:rFonts w:hint="eastAsia"/>
                <w:sz w:val="24"/>
                <w:szCs w:val="24"/>
              </w:rPr>
            </w:pPr>
            <w:r>
              <w:rPr>
                <w:rFonts w:hint="eastAsia"/>
                <w:sz w:val="24"/>
                <w:szCs w:val="24"/>
              </w:rPr>
              <w:t>左侧</w:t>
            </w:r>
          </w:p>
        </w:tc>
        <w:tc>
          <w:tcPr>
            <w:tcW w:w="2024" w:type="dxa"/>
            <w:noWrap w:val="0"/>
            <w:vAlign w:val="center"/>
          </w:tcPr>
          <w:p>
            <w:pPr>
              <w:pStyle w:val="8"/>
              <w:jc w:val="center"/>
              <w:rPr>
                <w:rFonts w:hint="eastAsia"/>
                <w:sz w:val="24"/>
                <w:szCs w:val="24"/>
              </w:rPr>
            </w:pPr>
          </w:p>
        </w:tc>
        <w:tc>
          <w:tcPr>
            <w:tcW w:w="2626" w:type="dxa"/>
            <w:noWrap w:val="0"/>
            <w:vAlign w:val="center"/>
          </w:tcPr>
          <w:p>
            <w:pPr>
              <w:pStyle w:val="8"/>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132" w:type="dxa"/>
            <w:vMerge w:val="continue"/>
            <w:noWrap w:val="0"/>
            <w:vAlign w:val="center"/>
          </w:tcPr>
          <w:p>
            <w:pPr>
              <w:pStyle w:val="8"/>
              <w:jc w:val="center"/>
              <w:rPr>
                <w:rFonts w:hint="eastAsia"/>
                <w:sz w:val="24"/>
                <w:szCs w:val="24"/>
              </w:rPr>
            </w:pPr>
          </w:p>
        </w:tc>
        <w:tc>
          <w:tcPr>
            <w:tcW w:w="2218" w:type="dxa"/>
            <w:noWrap w:val="0"/>
            <w:vAlign w:val="center"/>
          </w:tcPr>
          <w:p>
            <w:pPr>
              <w:pStyle w:val="8"/>
              <w:jc w:val="center"/>
              <w:rPr>
                <w:rFonts w:hint="eastAsia"/>
                <w:sz w:val="24"/>
                <w:szCs w:val="24"/>
              </w:rPr>
            </w:pPr>
            <w:r>
              <w:rPr>
                <w:rFonts w:hint="eastAsia"/>
                <w:sz w:val="24"/>
                <w:szCs w:val="24"/>
              </w:rPr>
              <w:t>右侧</w:t>
            </w:r>
          </w:p>
        </w:tc>
        <w:tc>
          <w:tcPr>
            <w:tcW w:w="2024" w:type="dxa"/>
            <w:noWrap w:val="0"/>
            <w:vAlign w:val="center"/>
          </w:tcPr>
          <w:p>
            <w:pPr>
              <w:pStyle w:val="8"/>
              <w:jc w:val="center"/>
              <w:rPr>
                <w:rFonts w:hint="eastAsia"/>
                <w:sz w:val="24"/>
                <w:szCs w:val="24"/>
              </w:rPr>
            </w:pPr>
          </w:p>
        </w:tc>
        <w:tc>
          <w:tcPr>
            <w:tcW w:w="2626" w:type="dxa"/>
            <w:noWrap w:val="0"/>
            <w:vAlign w:val="center"/>
          </w:tcPr>
          <w:p>
            <w:pPr>
              <w:pStyle w:val="8"/>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32" w:type="dxa"/>
            <w:noWrap w:val="0"/>
            <w:vAlign w:val="center"/>
          </w:tcPr>
          <w:p>
            <w:pPr>
              <w:pStyle w:val="8"/>
              <w:jc w:val="center"/>
              <w:rPr>
                <w:rFonts w:hint="eastAsia"/>
                <w:sz w:val="24"/>
                <w:szCs w:val="24"/>
              </w:rPr>
            </w:pPr>
            <w:r>
              <w:rPr>
                <w:rFonts w:hint="eastAsia"/>
                <w:sz w:val="24"/>
                <w:szCs w:val="24"/>
              </w:rPr>
              <w:t>结 论</w:t>
            </w:r>
          </w:p>
        </w:tc>
        <w:tc>
          <w:tcPr>
            <w:tcW w:w="6868" w:type="dxa"/>
            <w:gridSpan w:val="3"/>
            <w:noWrap w:val="0"/>
            <w:vAlign w:val="center"/>
          </w:tcPr>
          <w:p>
            <w:pPr>
              <w:pStyle w:val="8"/>
              <w:ind w:left="0" w:leftChars="0" w:firstLine="0" w:firstLineChars="0"/>
              <w:jc w:val="both"/>
              <w:rPr>
                <w:rFonts w:hint="eastAsia"/>
                <w:sz w:val="24"/>
                <w:szCs w:val="24"/>
              </w:rPr>
            </w:pPr>
          </w:p>
        </w:tc>
      </w:tr>
    </w:tbl>
    <w:p>
      <w:pPr>
        <w:pStyle w:val="8"/>
        <w:spacing w:line="360" w:lineRule="auto"/>
        <w:ind w:left="0" w:leftChars="0" w:firstLine="562" w:firstLineChars="200"/>
        <w:rPr>
          <w:rFonts w:hint="eastAsia"/>
          <w:b/>
          <w:sz w:val="28"/>
          <w:szCs w:val="28"/>
        </w:rPr>
      </w:pPr>
      <w:r>
        <w:rPr>
          <w:rFonts w:hint="eastAsia" w:ascii="宋体" w:hAnsi="宋体" w:cs="宋体"/>
          <w:b/>
          <w:sz w:val="28"/>
          <w:szCs w:val="28"/>
        </w:rPr>
        <w:t>任务2：</w:t>
      </w:r>
      <w:r>
        <w:rPr>
          <w:rFonts w:hint="eastAsia" w:hAnsi="宋体" w:cs="宋体"/>
          <w:b/>
          <w:sz w:val="28"/>
          <w:szCs w:val="28"/>
          <w:lang w:eastAsia="zh-CN"/>
        </w:rPr>
        <w:t>单缸</w:t>
      </w:r>
      <w:r>
        <w:rPr>
          <w:rFonts w:hint="eastAsia"/>
          <w:b/>
          <w:sz w:val="28"/>
          <w:szCs w:val="28"/>
        </w:rPr>
        <w:t>发动机气门组检测（</w:t>
      </w:r>
      <w:r>
        <w:rPr>
          <w:rFonts w:hint="eastAsia"/>
          <w:b/>
          <w:sz w:val="28"/>
          <w:szCs w:val="28"/>
          <w:lang w:val="en-US" w:eastAsia="zh-CN"/>
        </w:rPr>
        <w:t>30</w:t>
      </w:r>
      <w:r>
        <w:rPr>
          <w:rFonts w:hint="eastAsia"/>
          <w:b/>
          <w:sz w:val="28"/>
          <w:szCs w:val="28"/>
        </w:rPr>
        <w:t>分）</w:t>
      </w:r>
    </w:p>
    <w:p>
      <w:pPr>
        <w:pStyle w:val="8"/>
        <w:spacing w:line="360" w:lineRule="auto"/>
        <w:ind w:firstLine="560" w:firstLineChars="200"/>
        <w:rPr>
          <w:rFonts w:hint="eastAsia"/>
          <w:sz w:val="28"/>
          <w:szCs w:val="28"/>
        </w:rPr>
      </w:pPr>
      <w:r>
        <w:rPr>
          <w:rFonts w:hint="eastAsia"/>
          <w:sz w:val="28"/>
          <w:szCs w:val="28"/>
        </w:rPr>
        <w:t>1．拆卸气门组</w:t>
      </w:r>
    </w:p>
    <w:p>
      <w:pPr>
        <w:pStyle w:val="8"/>
        <w:spacing w:line="360" w:lineRule="auto"/>
        <w:ind w:firstLine="560" w:firstLineChars="200"/>
        <w:rPr>
          <w:rFonts w:hint="eastAsia"/>
          <w:sz w:val="28"/>
          <w:szCs w:val="28"/>
        </w:rPr>
      </w:pPr>
      <w:r>
        <w:rPr>
          <w:rFonts w:hint="eastAsia"/>
          <w:sz w:val="28"/>
          <w:szCs w:val="28"/>
        </w:rPr>
        <w:t>2．测量气门杆直径及密封环带宽度</w:t>
      </w:r>
    </w:p>
    <w:p>
      <w:pPr>
        <w:pStyle w:val="8"/>
        <w:spacing w:line="360" w:lineRule="auto"/>
        <w:ind w:firstLine="560" w:firstLineChars="200"/>
        <w:rPr>
          <w:rFonts w:hint="eastAsia" w:eastAsia="仿宋_GB2312"/>
          <w:sz w:val="28"/>
          <w:szCs w:val="28"/>
          <w:lang w:eastAsia="zh-CN"/>
        </w:rPr>
      </w:pPr>
      <w:r>
        <w:rPr>
          <w:rFonts w:hint="eastAsia"/>
          <w:sz w:val="28"/>
          <w:szCs w:val="28"/>
        </w:rPr>
        <w:t>3．完成任何后填写记录表</w:t>
      </w:r>
      <w:r>
        <w:rPr>
          <w:rFonts w:hint="eastAsia"/>
          <w:sz w:val="28"/>
          <w:szCs w:val="28"/>
          <w:lang w:val="en-US" w:eastAsia="zh-CN"/>
        </w:rPr>
        <w:t>2</w:t>
      </w:r>
    </w:p>
    <w:p>
      <w:pPr>
        <w:pStyle w:val="8"/>
        <w:spacing w:line="360" w:lineRule="auto"/>
        <w:ind w:firstLine="560" w:firstLineChars="200"/>
        <w:rPr>
          <w:rFonts w:hint="eastAsia"/>
          <w:b/>
          <w:sz w:val="28"/>
          <w:szCs w:val="28"/>
        </w:rPr>
      </w:pPr>
      <w:r>
        <w:rPr>
          <w:rFonts w:hint="eastAsia"/>
          <w:sz w:val="28"/>
          <w:szCs w:val="28"/>
        </w:rPr>
        <w:t>4．安装气门组</w:t>
      </w:r>
    </w:p>
    <w:p>
      <w:pPr>
        <w:pStyle w:val="8"/>
        <w:spacing w:line="360" w:lineRule="auto"/>
        <w:ind w:firstLine="562" w:firstLineChars="200"/>
        <w:rPr>
          <w:rFonts w:hint="eastAsia"/>
          <w:b/>
          <w:sz w:val="28"/>
          <w:szCs w:val="28"/>
        </w:rPr>
      </w:pPr>
      <w:r>
        <w:rPr>
          <w:rFonts w:hint="eastAsia"/>
          <w:b/>
          <w:sz w:val="28"/>
          <w:szCs w:val="28"/>
        </w:rPr>
        <w:t>表</w:t>
      </w:r>
      <w:r>
        <w:rPr>
          <w:rFonts w:hint="eastAsia"/>
          <w:b/>
          <w:sz w:val="28"/>
          <w:szCs w:val="28"/>
          <w:lang w:val="en-US" w:eastAsia="zh-CN"/>
        </w:rPr>
        <w:t>2</w:t>
      </w:r>
      <w:r>
        <w:rPr>
          <w:rFonts w:hint="eastAsia"/>
          <w:b/>
          <w:sz w:val="28"/>
          <w:szCs w:val="28"/>
        </w:rPr>
        <w:t>：</w:t>
      </w:r>
    </w:p>
    <w:p>
      <w:pPr>
        <w:autoSpaceDE w:val="0"/>
        <w:autoSpaceDN w:val="0"/>
        <w:jc w:val="center"/>
        <w:rPr>
          <w:rFonts w:hint="eastAsia" w:ascii="宋体" w:hAnsi="Courier New" w:cs="Courier New"/>
          <w:sz w:val="24"/>
          <w:szCs w:val="24"/>
        </w:rPr>
      </w:pPr>
      <w:r>
        <w:rPr>
          <w:rFonts w:hint="eastAsia" w:ascii="宋体" w:hAnsi="Courier New" w:cs="Courier New"/>
          <w:sz w:val="24"/>
          <w:szCs w:val="24"/>
        </w:rPr>
        <w:t>发动机气门组检测记录表</w:t>
      </w:r>
    </w:p>
    <w:tbl>
      <w:tblPr>
        <w:tblStyle w:val="12"/>
        <w:tblW w:w="0" w:type="auto"/>
        <w:tblInd w:w="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43"/>
        <w:gridCol w:w="1582"/>
        <w:gridCol w:w="1211"/>
        <w:gridCol w:w="1360"/>
        <w:gridCol w:w="1211"/>
        <w:gridCol w:w="12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2" w:hRule="atLeast"/>
        </w:trPr>
        <w:tc>
          <w:tcPr>
            <w:tcW w:w="3925" w:type="dxa"/>
            <w:gridSpan w:val="2"/>
            <w:vMerge w:val="restart"/>
            <w:noWrap w:val="0"/>
            <w:vAlign w:val="center"/>
          </w:tcPr>
          <w:p>
            <w:pPr>
              <w:autoSpaceDE w:val="0"/>
              <w:autoSpaceDN w:val="0"/>
              <w:jc w:val="both"/>
              <w:rPr>
                <w:rFonts w:hint="eastAsia" w:ascii="宋体" w:hAnsi="Courier New" w:cs="Courier New"/>
                <w:sz w:val="24"/>
                <w:szCs w:val="24"/>
              </w:rPr>
            </w:pPr>
            <w:r>
              <w:rPr>
                <w:rFonts w:hint="eastAsia" w:ascii="宋体" w:hAnsi="Courier New" w:cs="Courier New"/>
                <w:sz w:val="24"/>
                <w:szCs w:val="24"/>
              </w:rPr>
              <w:t xml:space="preserve">测量缸号     </w:t>
            </w:r>
          </w:p>
        </w:tc>
        <w:tc>
          <w:tcPr>
            <w:tcW w:w="2571" w:type="dxa"/>
            <w:gridSpan w:val="2"/>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前排位置</w:t>
            </w:r>
          </w:p>
        </w:tc>
        <w:tc>
          <w:tcPr>
            <w:tcW w:w="2473" w:type="dxa"/>
            <w:gridSpan w:val="2"/>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后排位置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925" w:type="dxa"/>
            <w:gridSpan w:val="2"/>
            <w:vMerge w:val="continue"/>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进气门</w:t>
            </w:r>
          </w:p>
        </w:tc>
        <w:tc>
          <w:tcPr>
            <w:tcW w:w="1360"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排气门</w:t>
            </w:r>
          </w:p>
        </w:tc>
        <w:tc>
          <w:tcPr>
            <w:tcW w:w="1211"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进气门</w:t>
            </w:r>
          </w:p>
        </w:tc>
        <w:tc>
          <w:tcPr>
            <w:tcW w:w="126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排气门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343" w:type="dxa"/>
            <w:vMerge w:val="restart"/>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气门杆直径测量</w:t>
            </w:r>
          </w:p>
        </w:tc>
        <w:tc>
          <w:tcPr>
            <w:tcW w:w="158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位置一</w:t>
            </w:r>
          </w:p>
        </w:tc>
        <w:tc>
          <w:tcPr>
            <w:tcW w:w="1211" w:type="dxa"/>
            <w:noWrap w:val="0"/>
            <w:vAlign w:val="center"/>
          </w:tcPr>
          <w:p>
            <w:pPr>
              <w:autoSpaceDE w:val="0"/>
              <w:autoSpaceDN w:val="0"/>
              <w:jc w:val="center"/>
              <w:rPr>
                <w:rFonts w:hint="eastAsia" w:ascii="宋体" w:hAnsi="Courier New" w:cs="Courier New"/>
                <w:sz w:val="24"/>
                <w:szCs w:val="24"/>
              </w:rPr>
            </w:pPr>
          </w:p>
        </w:tc>
        <w:tc>
          <w:tcPr>
            <w:tcW w:w="1360" w:type="dxa"/>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jc w:val="center"/>
              <w:rPr>
                <w:rFonts w:hint="eastAsia" w:ascii="宋体" w:hAnsi="Courier New" w:cs="Courier New"/>
                <w:sz w:val="24"/>
                <w:szCs w:val="24"/>
              </w:rPr>
            </w:pPr>
          </w:p>
        </w:tc>
        <w:tc>
          <w:tcPr>
            <w:tcW w:w="1262"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2343" w:type="dxa"/>
            <w:vMerge w:val="continue"/>
            <w:noWrap w:val="0"/>
            <w:vAlign w:val="center"/>
          </w:tcPr>
          <w:p>
            <w:pPr>
              <w:autoSpaceDE w:val="0"/>
              <w:autoSpaceDN w:val="0"/>
              <w:jc w:val="center"/>
              <w:rPr>
                <w:rFonts w:hint="eastAsia" w:ascii="宋体" w:hAnsi="Courier New" w:cs="Courier New"/>
                <w:sz w:val="24"/>
                <w:szCs w:val="24"/>
              </w:rPr>
            </w:pPr>
          </w:p>
        </w:tc>
        <w:tc>
          <w:tcPr>
            <w:tcW w:w="158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位置二</w:t>
            </w:r>
          </w:p>
        </w:tc>
        <w:tc>
          <w:tcPr>
            <w:tcW w:w="1211" w:type="dxa"/>
            <w:noWrap w:val="0"/>
            <w:vAlign w:val="center"/>
          </w:tcPr>
          <w:p>
            <w:pPr>
              <w:autoSpaceDE w:val="0"/>
              <w:autoSpaceDN w:val="0"/>
              <w:jc w:val="center"/>
              <w:rPr>
                <w:rFonts w:hint="eastAsia" w:ascii="宋体" w:hAnsi="Courier New" w:cs="Courier New"/>
                <w:sz w:val="24"/>
                <w:szCs w:val="24"/>
              </w:rPr>
            </w:pPr>
          </w:p>
        </w:tc>
        <w:tc>
          <w:tcPr>
            <w:tcW w:w="1360" w:type="dxa"/>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jc w:val="center"/>
              <w:rPr>
                <w:rFonts w:hint="eastAsia" w:ascii="宋体" w:hAnsi="Courier New" w:cs="Courier New"/>
                <w:sz w:val="24"/>
                <w:szCs w:val="24"/>
              </w:rPr>
            </w:pPr>
          </w:p>
        </w:tc>
        <w:tc>
          <w:tcPr>
            <w:tcW w:w="1262"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2343" w:type="dxa"/>
            <w:vMerge w:val="continue"/>
            <w:noWrap w:val="0"/>
            <w:vAlign w:val="center"/>
          </w:tcPr>
          <w:p>
            <w:pPr>
              <w:autoSpaceDE w:val="0"/>
              <w:autoSpaceDN w:val="0"/>
              <w:jc w:val="center"/>
              <w:rPr>
                <w:rFonts w:hint="eastAsia" w:ascii="宋体" w:hAnsi="Courier New" w:cs="Courier New"/>
                <w:sz w:val="24"/>
                <w:szCs w:val="24"/>
              </w:rPr>
            </w:pPr>
          </w:p>
        </w:tc>
        <w:tc>
          <w:tcPr>
            <w:tcW w:w="158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位置三</w:t>
            </w:r>
          </w:p>
        </w:tc>
        <w:tc>
          <w:tcPr>
            <w:tcW w:w="1211" w:type="dxa"/>
            <w:noWrap w:val="0"/>
            <w:vAlign w:val="center"/>
          </w:tcPr>
          <w:p>
            <w:pPr>
              <w:autoSpaceDE w:val="0"/>
              <w:autoSpaceDN w:val="0"/>
              <w:jc w:val="center"/>
              <w:rPr>
                <w:rFonts w:hint="eastAsia" w:ascii="宋体" w:hAnsi="Courier New" w:cs="Courier New"/>
                <w:sz w:val="24"/>
                <w:szCs w:val="24"/>
              </w:rPr>
            </w:pPr>
          </w:p>
        </w:tc>
        <w:tc>
          <w:tcPr>
            <w:tcW w:w="1360" w:type="dxa"/>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jc w:val="center"/>
              <w:rPr>
                <w:rFonts w:hint="eastAsia" w:ascii="宋体" w:hAnsi="Courier New" w:cs="Courier New"/>
                <w:sz w:val="24"/>
                <w:szCs w:val="24"/>
              </w:rPr>
            </w:pPr>
          </w:p>
        </w:tc>
        <w:tc>
          <w:tcPr>
            <w:tcW w:w="1262"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3925" w:type="dxa"/>
            <w:gridSpan w:val="2"/>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气门环带宽度</w:t>
            </w:r>
          </w:p>
        </w:tc>
        <w:tc>
          <w:tcPr>
            <w:tcW w:w="1211" w:type="dxa"/>
            <w:noWrap w:val="0"/>
            <w:vAlign w:val="center"/>
          </w:tcPr>
          <w:p>
            <w:pPr>
              <w:autoSpaceDE w:val="0"/>
              <w:autoSpaceDN w:val="0"/>
              <w:jc w:val="center"/>
              <w:rPr>
                <w:rFonts w:hint="eastAsia" w:ascii="宋体" w:hAnsi="Courier New" w:cs="Courier New"/>
                <w:sz w:val="24"/>
                <w:szCs w:val="24"/>
              </w:rPr>
            </w:pPr>
          </w:p>
        </w:tc>
        <w:tc>
          <w:tcPr>
            <w:tcW w:w="1360" w:type="dxa"/>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jc w:val="center"/>
              <w:rPr>
                <w:rFonts w:hint="eastAsia" w:ascii="宋体" w:hAnsi="Courier New" w:cs="Courier New"/>
                <w:sz w:val="24"/>
                <w:szCs w:val="24"/>
              </w:rPr>
            </w:pPr>
          </w:p>
        </w:tc>
        <w:tc>
          <w:tcPr>
            <w:tcW w:w="1262"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72" w:hRule="atLeast"/>
        </w:trPr>
        <w:tc>
          <w:tcPr>
            <w:tcW w:w="3925" w:type="dxa"/>
            <w:gridSpan w:val="2"/>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气门环带位置</w:t>
            </w:r>
          </w:p>
        </w:tc>
        <w:tc>
          <w:tcPr>
            <w:tcW w:w="1211" w:type="dxa"/>
            <w:noWrap w:val="0"/>
            <w:vAlign w:val="center"/>
          </w:tcPr>
          <w:p>
            <w:pPr>
              <w:autoSpaceDE w:val="0"/>
              <w:autoSpaceDN w:val="0"/>
              <w:jc w:val="center"/>
              <w:rPr>
                <w:rFonts w:hint="eastAsia" w:ascii="宋体" w:hAnsi="Courier New" w:cs="Courier New"/>
                <w:sz w:val="24"/>
                <w:szCs w:val="24"/>
              </w:rPr>
            </w:pPr>
          </w:p>
        </w:tc>
        <w:tc>
          <w:tcPr>
            <w:tcW w:w="1360" w:type="dxa"/>
            <w:noWrap w:val="0"/>
            <w:vAlign w:val="center"/>
          </w:tcPr>
          <w:p>
            <w:pPr>
              <w:autoSpaceDE w:val="0"/>
              <w:autoSpaceDN w:val="0"/>
              <w:jc w:val="center"/>
              <w:rPr>
                <w:rFonts w:hint="eastAsia" w:ascii="宋体" w:hAnsi="Courier New" w:cs="Courier New"/>
                <w:sz w:val="24"/>
                <w:szCs w:val="24"/>
              </w:rPr>
            </w:pPr>
          </w:p>
        </w:tc>
        <w:tc>
          <w:tcPr>
            <w:tcW w:w="1211" w:type="dxa"/>
            <w:noWrap w:val="0"/>
            <w:vAlign w:val="center"/>
          </w:tcPr>
          <w:p>
            <w:pPr>
              <w:autoSpaceDE w:val="0"/>
              <w:autoSpaceDN w:val="0"/>
              <w:jc w:val="center"/>
              <w:rPr>
                <w:rFonts w:hint="eastAsia" w:ascii="宋体" w:hAnsi="Courier New" w:cs="Courier New"/>
                <w:sz w:val="24"/>
                <w:szCs w:val="24"/>
              </w:rPr>
            </w:pPr>
          </w:p>
        </w:tc>
        <w:tc>
          <w:tcPr>
            <w:tcW w:w="1262"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80" w:hRule="atLeast"/>
        </w:trPr>
        <w:tc>
          <w:tcPr>
            <w:tcW w:w="3925" w:type="dxa"/>
            <w:gridSpan w:val="2"/>
            <w:noWrap w:val="0"/>
            <w:vAlign w:val="center"/>
          </w:tcPr>
          <w:p>
            <w:pPr>
              <w:autoSpaceDE w:val="0"/>
              <w:autoSpaceDN w:val="0"/>
              <w:jc w:val="center"/>
              <w:rPr>
                <w:rFonts w:hint="eastAsia" w:ascii="微软雅黑" w:hAnsi="微软雅黑" w:eastAsia="微软雅黑" w:cs="微软雅黑"/>
                <w:kern w:val="0"/>
                <w:sz w:val="24"/>
                <w:szCs w:val="24"/>
                <w:lang w:bidi="zh-CN"/>
              </w:rPr>
            </w:pPr>
            <w:r>
              <w:rPr>
                <w:rFonts w:hint="eastAsia" w:ascii="宋体" w:hAnsi="Courier New" w:cs="Courier New"/>
                <w:sz w:val="24"/>
                <w:szCs w:val="24"/>
              </w:rPr>
              <w:t>结 论</w:t>
            </w:r>
          </w:p>
        </w:tc>
        <w:tc>
          <w:tcPr>
            <w:tcW w:w="5044" w:type="dxa"/>
            <w:gridSpan w:val="4"/>
            <w:noWrap w:val="0"/>
            <w:vAlign w:val="center"/>
          </w:tcPr>
          <w:p>
            <w:pPr>
              <w:autoSpaceDE w:val="0"/>
              <w:autoSpaceDN w:val="0"/>
              <w:jc w:val="center"/>
              <w:rPr>
                <w:rFonts w:hint="eastAsia" w:ascii="微软雅黑" w:hAnsi="微软雅黑" w:eastAsia="微软雅黑" w:cs="微软雅黑"/>
                <w:kern w:val="0"/>
                <w:sz w:val="24"/>
                <w:szCs w:val="24"/>
                <w:lang w:bidi="zh-CN"/>
              </w:rPr>
            </w:pPr>
          </w:p>
        </w:tc>
      </w:tr>
    </w:tbl>
    <w:p>
      <w:pPr>
        <w:pStyle w:val="8"/>
        <w:spacing w:line="360" w:lineRule="auto"/>
        <w:ind w:firstLine="562" w:firstLineChars="200"/>
        <w:rPr>
          <w:rFonts w:hint="eastAsia"/>
          <w:b/>
          <w:sz w:val="28"/>
          <w:szCs w:val="28"/>
        </w:rPr>
      </w:pPr>
      <w:r>
        <w:rPr>
          <w:rFonts w:hint="eastAsia"/>
          <w:b/>
          <w:sz w:val="28"/>
          <w:szCs w:val="28"/>
        </w:rPr>
        <w:t>任务</w:t>
      </w:r>
      <w:r>
        <w:rPr>
          <w:rFonts w:hint="eastAsia"/>
          <w:b/>
          <w:sz w:val="28"/>
          <w:szCs w:val="28"/>
          <w:lang w:val="en-US" w:eastAsia="zh-CN"/>
        </w:rPr>
        <w:t>3</w:t>
      </w:r>
      <w:r>
        <w:rPr>
          <w:rFonts w:hint="eastAsia"/>
          <w:b/>
          <w:sz w:val="28"/>
          <w:szCs w:val="28"/>
        </w:rPr>
        <w:t>：发动机气缸与活塞的检测（</w:t>
      </w:r>
      <w:r>
        <w:rPr>
          <w:rFonts w:hint="eastAsia"/>
          <w:b/>
          <w:sz w:val="28"/>
          <w:szCs w:val="28"/>
          <w:lang w:val="en-US" w:eastAsia="zh-CN"/>
        </w:rPr>
        <w:t>30</w:t>
      </w:r>
      <w:r>
        <w:rPr>
          <w:rFonts w:hint="eastAsia"/>
          <w:b/>
          <w:sz w:val="28"/>
          <w:szCs w:val="28"/>
        </w:rPr>
        <w:t>分）</w:t>
      </w:r>
    </w:p>
    <w:p>
      <w:pPr>
        <w:pStyle w:val="8"/>
        <w:spacing w:line="360" w:lineRule="auto"/>
        <w:ind w:firstLine="560" w:firstLineChars="200"/>
        <w:rPr>
          <w:rFonts w:hint="eastAsia"/>
          <w:sz w:val="28"/>
          <w:szCs w:val="28"/>
        </w:rPr>
      </w:pPr>
      <w:r>
        <w:rPr>
          <w:rFonts w:hint="eastAsia"/>
          <w:sz w:val="28"/>
          <w:szCs w:val="28"/>
        </w:rPr>
        <w:t>1．活塞连杆组的拆卸</w:t>
      </w:r>
    </w:p>
    <w:p>
      <w:pPr>
        <w:pStyle w:val="8"/>
        <w:spacing w:line="360" w:lineRule="auto"/>
        <w:ind w:firstLine="560" w:firstLineChars="200"/>
        <w:rPr>
          <w:rFonts w:hint="eastAsia"/>
          <w:sz w:val="28"/>
          <w:szCs w:val="28"/>
          <w:lang w:val="en-US" w:eastAsia="zh-CN"/>
        </w:rPr>
      </w:pPr>
      <w:r>
        <w:rPr>
          <w:rFonts w:hint="eastAsia"/>
          <w:sz w:val="28"/>
          <w:szCs w:val="28"/>
        </w:rPr>
        <w:t>2．活塞、气缸的测量，将数据填入记录表</w:t>
      </w:r>
      <w:r>
        <w:rPr>
          <w:rFonts w:hint="eastAsia"/>
          <w:sz w:val="28"/>
          <w:szCs w:val="28"/>
          <w:lang w:val="en-US" w:eastAsia="zh-CN"/>
        </w:rPr>
        <w:t>3</w:t>
      </w:r>
    </w:p>
    <w:p>
      <w:pPr>
        <w:pStyle w:val="8"/>
        <w:spacing w:line="360" w:lineRule="auto"/>
        <w:ind w:firstLine="560" w:firstLineChars="200"/>
        <w:rPr>
          <w:rFonts w:hint="eastAsia"/>
          <w:sz w:val="28"/>
          <w:szCs w:val="28"/>
        </w:rPr>
      </w:pPr>
      <w:r>
        <w:rPr>
          <w:rFonts w:hint="eastAsia"/>
          <w:sz w:val="28"/>
          <w:szCs w:val="28"/>
        </w:rPr>
        <w:t>3．活塞连杆组的安装</w:t>
      </w:r>
    </w:p>
    <w:p>
      <w:pPr>
        <w:pStyle w:val="8"/>
        <w:spacing w:line="360" w:lineRule="auto"/>
        <w:ind w:firstLine="562" w:firstLineChars="200"/>
        <w:rPr>
          <w:rFonts w:hint="eastAsia"/>
          <w:b/>
          <w:sz w:val="28"/>
          <w:szCs w:val="28"/>
        </w:rPr>
      </w:pPr>
      <w:r>
        <w:rPr>
          <w:rFonts w:hint="eastAsia"/>
          <w:b/>
          <w:sz w:val="28"/>
          <w:szCs w:val="28"/>
        </w:rPr>
        <w:t>任务</w:t>
      </w:r>
      <w:r>
        <w:rPr>
          <w:rFonts w:hint="eastAsia"/>
          <w:b/>
          <w:sz w:val="28"/>
          <w:szCs w:val="28"/>
          <w:lang w:val="en-US" w:eastAsia="zh-CN"/>
        </w:rPr>
        <w:t>4</w:t>
      </w:r>
      <w:r>
        <w:rPr>
          <w:rFonts w:hint="eastAsia"/>
          <w:b/>
          <w:sz w:val="28"/>
          <w:szCs w:val="28"/>
        </w:rPr>
        <w:t>：</w:t>
      </w:r>
      <w:r>
        <w:rPr>
          <w:rFonts w:hint="eastAsia"/>
          <w:b/>
          <w:sz w:val="28"/>
          <w:szCs w:val="28"/>
          <w:lang w:eastAsia="zh-CN"/>
        </w:rPr>
        <w:t>汽车发电机拆装</w:t>
      </w:r>
      <w:r>
        <w:rPr>
          <w:rFonts w:hint="eastAsia"/>
          <w:b/>
          <w:sz w:val="28"/>
          <w:szCs w:val="28"/>
        </w:rPr>
        <w:t>（</w:t>
      </w:r>
      <w:r>
        <w:rPr>
          <w:rFonts w:hint="eastAsia"/>
          <w:b/>
          <w:sz w:val="28"/>
          <w:szCs w:val="28"/>
          <w:lang w:val="en-US" w:eastAsia="zh-CN"/>
        </w:rPr>
        <w:t>20</w:t>
      </w:r>
      <w:r>
        <w:rPr>
          <w:rFonts w:hint="eastAsia"/>
          <w:b/>
          <w:sz w:val="28"/>
          <w:szCs w:val="28"/>
        </w:rPr>
        <w:t>分）</w:t>
      </w:r>
    </w:p>
    <w:p>
      <w:pPr>
        <w:pStyle w:val="8"/>
        <w:spacing w:line="360" w:lineRule="auto"/>
        <w:ind w:firstLine="562" w:firstLineChars="200"/>
        <w:rPr>
          <w:rFonts w:hint="eastAsia"/>
          <w:b/>
          <w:sz w:val="28"/>
          <w:szCs w:val="28"/>
        </w:rPr>
      </w:pPr>
      <w:r>
        <w:rPr>
          <w:rFonts w:hint="eastAsia"/>
          <w:b/>
          <w:sz w:val="28"/>
          <w:szCs w:val="28"/>
        </w:rPr>
        <w:t>任务</w:t>
      </w:r>
      <w:r>
        <w:rPr>
          <w:rFonts w:hint="eastAsia"/>
          <w:b/>
          <w:sz w:val="28"/>
          <w:szCs w:val="28"/>
          <w:lang w:val="en-US" w:eastAsia="zh-CN"/>
        </w:rPr>
        <w:t>5</w:t>
      </w:r>
      <w:r>
        <w:rPr>
          <w:rFonts w:hint="eastAsia"/>
          <w:b/>
          <w:sz w:val="28"/>
          <w:szCs w:val="28"/>
        </w:rPr>
        <w:t>：安全文明生产（5分）</w:t>
      </w:r>
    </w:p>
    <w:p>
      <w:pPr>
        <w:pStyle w:val="8"/>
        <w:spacing w:line="360" w:lineRule="auto"/>
        <w:rPr>
          <w:rFonts w:hint="eastAsia" w:ascii="宋体" w:hAnsi="Courier New" w:cs="Courier New"/>
          <w:sz w:val="28"/>
          <w:szCs w:val="28"/>
        </w:rPr>
      </w:pPr>
      <w:r>
        <w:rPr>
          <w:rFonts w:hint="eastAsia"/>
          <w:b/>
          <w:sz w:val="28"/>
          <w:szCs w:val="28"/>
        </w:rPr>
        <w:t>表</w:t>
      </w:r>
      <w:r>
        <w:rPr>
          <w:rFonts w:hint="eastAsia"/>
          <w:b/>
          <w:sz w:val="28"/>
          <w:szCs w:val="28"/>
          <w:lang w:val="en-US" w:eastAsia="zh-CN"/>
        </w:rPr>
        <w:t>3</w:t>
      </w:r>
      <w:r>
        <w:rPr>
          <w:rFonts w:hint="eastAsia"/>
          <w:b/>
          <w:sz w:val="28"/>
          <w:szCs w:val="28"/>
        </w:rPr>
        <w:t>：</w:t>
      </w:r>
      <w:r>
        <w:rPr>
          <w:rFonts w:hint="eastAsia" w:ascii="宋体" w:hAnsi="Courier New" w:cs="Courier New"/>
          <w:sz w:val="28"/>
          <w:szCs w:val="28"/>
        </w:rPr>
        <w:t>发动机气缸与活塞检测记录表</w:t>
      </w:r>
    </w:p>
    <w:tbl>
      <w:tblPr>
        <w:tblStyle w:val="12"/>
        <w:tblpPr w:leftFromText="180" w:rightFromText="180" w:vertAnchor="text" w:horzAnchor="page" w:tblpX="1568" w:tblpY="476"/>
        <w:tblOverlap w:val="never"/>
        <w:tblW w:w="907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5"/>
        <w:gridCol w:w="477"/>
        <w:gridCol w:w="396"/>
        <w:gridCol w:w="818"/>
        <w:gridCol w:w="818"/>
        <w:gridCol w:w="3232"/>
        <w:gridCol w:w="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3568" w:type="dxa"/>
            <w:gridSpan w:val="3"/>
            <w:vMerge w:val="restart"/>
            <w:tcBorders>
              <w:tl2br w:val="single" w:color="auto" w:sz="4" w:space="0"/>
            </w:tcBorders>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 xml:space="preserve">         缸   序</w:t>
            </w:r>
          </w:p>
          <w:p>
            <w:pPr>
              <w:autoSpaceDE w:val="0"/>
              <w:autoSpaceDN w:val="0"/>
              <w:ind w:firstLine="240" w:firstLineChars="100"/>
              <w:rPr>
                <w:rFonts w:hint="eastAsia" w:ascii="宋体" w:hAnsi="Courier New" w:cs="Courier New"/>
                <w:sz w:val="24"/>
                <w:szCs w:val="24"/>
              </w:rPr>
            </w:pPr>
            <w:r>
              <w:rPr>
                <w:rFonts w:hint="eastAsia" w:ascii="宋体" w:hAnsi="Courier New" w:cs="Courier New"/>
                <w:sz w:val="24"/>
                <w:szCs w:val="24"/>
              </w:rPr>
              <w:t>项  目</w:t>
            </w:r>
          </w:p>
        </w:tc>
        <w:tc>
          <w:tcPr>
            <w:tcW w:w="1636" w:type="dxa"/>
            <w:gridSpan w:val="2"/>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气缸位置</w:t>
            </w:r>
          </w:p>
        </w:tc>
        <w:tc>
          <w:tcPr>
            <w:tcW w:w="3869" w:type="dxa"/>
            <w:gridSpan w:val="2"/>
            <w:noWrap w:val="0"/>
            <w:vAlign w:val="center"/>
          </w:tcPr>
          <w:p>
            <w:pPr>
              <w:autoSpaceDE w:val="0"/>
              <w:autoSpaceDN w:val="0"/>
              <w:jc w:val="center"/>
              <w:rPr>
                <w:rFonts w:hint="eastAsia" w:ascii="宋体" w:hAnsi="Courier New" w:cs="Courier New"/>
                <w:sz w:val="24"/>
                <w:szCs w:val="24"/>
              </w:rPr>
            </w:pPr>
            <w:r>
              <w:rPr>
                <w:rFonts w:hint="eastAsia" w:ascii="宋体" w:hAnsi="Courier New" w:cs="Courier New"/>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8" w:type="dxa"/>
            <w:gridSpan w:val="3"/>
            <w:vMerge w:val="continue"/>
            <w:tcBorders>
              <w:tl2br w:val="single" w:color="auto" w:sz="4" w:space="0"/>
            </w:tcBorders>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A-A</w:t>
            </w:r>
          </w:p>
        </w:tc>
        <w:tc>
          <w:tcPr>
            <w:tcW w:w="818"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lang w:val="en-US" w:eastAsia="zh-CN"/>
              </w:rPr>
              <w:t>B</w:t>
            </w:r>
            <w:r>
              <w:rPr>
                <w:rFonts w:hint="eastAsia" w:ascii="宋体" w:hAnsi="Courier New" w:cs="Courier New"/>
                <w:sz w:val="24"/>
                <w:szCs w:val="24"/>
              </w:rPr>
              <w:t>-B</w:t>
            </w:r>
          </w:p>
        </w:tc>
        <w:tc>
          <w:tcPr>
            <w:tcW w:w="3869" w:type="dxa"/>
            <w:gridSpan w:val="2"/>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气缸与活塞维修参数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vMerge w:val="restart"/>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距气缸上端位置（mm）</w:t>
            </w:r>
          </w:p>
        </w:tc>
        <w:tc>
          <w:tcPr>
            <w:tcW w:w="477"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S1</w:t>
            </w:r>
          </w:p>
        </w:tc>
        <w:tc>
          <w:tcPr>
            <w:tcW w:w="396"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气缸圆度误差标准值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vMerge w:val="continue"/>
            <w:noWrap w:val="0"/>
            <w:vAlign w:val="center"/>
          </w:tcPr>
          <w:p>
            <w:pPr>
              <w:autoSpaceDE w:val="0"/>
              <w:autoSpaceDN w:val="0"/>
              <w:jc w:val="center"/>
              <w:rPr>
                <w:rFonts w:hint="eastAsia" w:ascii="宋体" w:hAnsi="Courier New" w:cs="Courier New"/>
                <w:sz w:val="24"/>
                <w:szCs w:val="24"/>
              </w:rPr>
            </w:pPr>
          </w:p>
        </w:tc>
        <w:tc>
          <w:tcPr>
            <w:tcW w:w="477"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S2</w:t>
            </w:r>
          </w:p>
        </w:tc>
        <w:tc>
          <w:tcPr>
            <w:tcW w:w="396"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气缸圆度误差极限值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vMerge w:val="continue"/>
            <w:noWrap w:val="0"/>
            <w:vAlign w:val="center"/>
          </w:tcPr>
          <w:p>
            <w:pPr>
              <w:autoSpaceDE w:val="0"/>
              <w:autoSpaceDN w:val="0"/>
              <w:jc w:val="center"/>
              <w:rPr>
                <w:rFonts w:hint="eastAsia" w:ascii="宋体" w:hAnsi="Courier New" w:cs="Courier New"/>
                <w:sz w:val="24"/>
                <w:szCs w:val="24"/>
              </w:rPr>
            </w:pPr>
          </w:p>
        </w:tc>
        <w:tc>
          <w:tcPr>
            <w:tcW w:w="477"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S3</w:t>
            </w:r>
          </w:p>
        </w:tc>
        <w:tc>
          <w:tcPr>
            <w:tcW w:w="396"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818" w:type="dxa"/>
            <w:noWrap w:val="0"/>
            <w:vAlign w:val="center"/>
          </w:tcPr>
          <w:p>
            <w:pPr>
              <w:autoSpaceDE w:val="0"/>
              <w:autoSpaceDN w:val="0"/>
              <w:jc w:val="center"/>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气缸圆柱度误差标准值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2695"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活塞裙部直径测量值</w:t>
            </w:r>
          </w:p>
        </w:tc>
        <w:tc>
          <w:tcPr>
            <w:tcW w:w="2509" w:type="dxa"/>
            <w:gridSpan w:val="4"/>
            <w:noWrap w:val="0"/>
            <w:vAlign w:val="center"/>
          </w:tcPr>
          <w:p>
            <w:pPr>
              <w:autoSpaceDE w:val="0"/>
              <w:autoSpaceDN w:val="0"/>
              <w:ind w:left="0" w:leftChars="0" w:firstLine="0" w:firstLineChars="0"/>
              <w:jc w:val="both"/>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气缸圆柱度误差极限值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气缸圆度误差</w:t>
            </w:r>
          </w:p>
        </w:tc>
        <w:tc>
          <w:tcPr>
            <w:tcW w:w="2509" w:type="dxa"/>
            <w:gridSpan w:val="4"/>
            <w:noWrap w:val="0"/>
            <w:vAlign w:val="center"/>
          </w:tcPr>
          <w:p>
            <w:pPr>
              <w:autoSpaceDE w:val="0"/>
              <w:autoSpaceDN w:val="0"/>
              <w:ind w:left="0" w:leftChars="0" w:firstLine="0" w:firstLineChars="0"/>
              <w:jc w:val="both"/>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活塞与气缸配合间隙标准值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气缸圆柱度误差</w:t>
            </w:r>
          </w:p>
        </w:tc>
        <w:tc>
          <w:tcPr>
            <w:tcW w:w="2509" w:type="dxa"/>
            <w:gridSpan w:val="4"/>
            <w:noWrap w:val="0"/>
            <w:vAlign w:val="center"/>
          </w:tcPr>
          <w:p>
            <w:pPr>
              <w:autoSpaceDE w:val="0"/>
              <w:autoSpaceDN w:val="0"/>
              <w:ind w:left="0" w:leftChars="0" w:firstLine="0" w:firstLineChars="0"/>
              <w:jc w:val="both"/>
              <w:rPr>
                <w:rFonts w:hint="eastAsia" w:ascii="宋体" w:hAnsi="Courier New" w:cs="Courier New"/>
                <w:sz w:val="24"/>
                <w:szCs w:val="24"/>
              </w:rPr>
            </w:pPr>
          </w:p>
        </w:tc>
        <w:tc>
          <w:tcPr>
            <w:tcW w:w="3232"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活塞与气缸配合间隙极限值</w:t>
            </w: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气缸与活塞配合间隙</w:t>
            </w:r>
          </w:p>
        </w:tc>
        <w:tc>
          <w:tcPr>
            <w:tcW w:w="2509" w:type="dxa"/>
            <w:gridSpan w:val="4"/>
            <w:noWrap w:val="0"/>
            <w:vAlign w:val="center"/>
          </w:tcPr>
          <w:p>
            <w:pPr>
              <w:autoSpaceDE w:val="0"/>
              <w:autoSpaceDN w:val="0"/>
              <w:ind w:left="0" w:leftChars="0" w:firstLine="0" w:firstLineChars="0"/>
              <w:jc w:val="both"/>
              <w:rPr>
                <w:rFonts w:hint="eastAsia" w:ascii="宋体" w:hAnsi="Courier New" w:cs="Courier New"/>
                <w:sz w:val="24"/>
                <w:szCs w:val="24"/>
              </w:rPr>
            </w:pPr>
          </w:p>
        </w:tc>
        <w:tc>
          <w:tcPr>
            <w:tcW w:w="3232" w:type="dxa"/>
            <w:noWrap w:val="0"/>
            <w:vAlign w:val="center"/>
          </w:tcPr>
          <w:p>
            <w:pPr>
              <w:autoSpaceDE w:val="0"/>
              <w:autoSpaceDN w:val="0"/>
              <w:jc w:val="center"/>
              <w:rPr>
                <w:rFonts w:hint="eastAsia" w:ascii="宋体" w:hAnsi="Courier New" w:cs="Courier New"/>
                <w:sz w:val="24"/>
                <w:szCs w:val="24"/>
              </w:rPr>
            </w:pPr>
          </w:p>
        </w:tc>
        <w:tc>
          <w:tcPr>
            <w:tcW w:w="637" w:type="dxa"/>
            <w:noWrap w:val="0"/>
            <w:vAlign w:val="center"/>
          </w:tcPr>
          <w:p>
            <w:pPr>
              <w:autoSpaceDE w:val="0"/>
              <w:autoSpaceDN w:val="0"/>
              <w:jc w:val="center"/>
              <w:rPr>
                <w:rFonts w:hint="eastAsia" w:ascii="宋体" w:hAnsi="Courier New" w:cs="Courier New"/>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95" w:type="dxa"/>
            <w:noWrap w:val="0"/>
            <w:vAlign w:val="center"/>
          </w:tcPr>
          <w:p>
            <w:pPr>
              <w:autoSpaceDE w:val="0"/>
              <w:autoSpaceDN w:val="0"/>
              <w:ind w:left="0" w:leftChars="0" w:firstLine="0" w:firstLineChars="0"/>
              <w:jc w:val="both"/>
              <w:rPr>
                <w:rFonts w:hint="eastAsia" w:ascii="宋体" w:hAnsi="Courier New" w:cs="Courier New"/>
                <w:sz w:val="24"/>
                <w:szCs w:val="24"/>
              </w:rPr>
            </w:pPr>
            <w:r>
              <w:rPr>
                <w:rFonts w:hint="eastAsia" w:ascii="宋体" w:hAnsi="Courier New" w:cs="Courier New"/>
                <w:sz w:val="24"/>
                <w:szCs w:val="24"/>
              </w:rPr>
              <w:t>鉴定结论</w:t>
            </w:r>
          </w:p>
        </w:tc>
        <w:tc>
          <w:tcPr>
            <w:tcW w:w="6378" w:type="dxa"/>
            <w:gridSpan w:val="6"/>
            <w:noWrap w:val="0"/>
            <w:vAlign w:val="center"/>
          </w:tcPr>
          <w:p>
            <w:pPr>
              <w:pStyle w:val="8"/>
              <w:ind w:left="0" w:leftChars="0" w:firstLine="0" w:firstLineChars="0"/>
              <w:rPr>
                <w:rFonts w:hint="eastAsia"/>
                <w:sz w:val="24"/>
                <w:szCs w:val="24"/>
              </w:rPr>
            </w:pPr>
          </w:p>
        </w:tc>
      </w:tr>
    </w:tbl>
    <w:p>
      <w:pPr>
        <w:autoSpaceDE w:val="0"/>
        <w:autoSpaceDN w:val="0"/>
        <w:jc w:val="left"/>
        <w:rPr>
          <w:sz w:val="28"/>
          <w:szCs w:val="28"/>
        </w:rPr>
      </w:pPr>
      <w:r>
        <w:rPr>
          <w:rFonts w:hint="eastAsia" w:ascii="宋体" w:hAnsi="Courier New" w:cs="Courier New"/>
          <w:sz w:val="28"/>
          <w:szCs w:val="28"/>
        </w:rPr>
        <w:t>注释：A-A为缸径与曲轴平行方向、B-B为缸径与曲轴垂直的方向</w:t>
      </w:r>
    </w:p>
    <w:p>
      <w:pPr>
        <w:pStyle w:val="4"/>
        <w:bidi w:val="0"/>
        <w:rPr>
          <w:sz w:val="28"/>
          <w:szCs w:val="28"/>
        </w:rPr>
      </w:pPr>
      <w:r>
        <w:rPr>
          <w:sz w:val="28"/>
          <w:szCs w:val="28"/>
        </w:rPr>
        <w:t>四、竞赛方式</w:t>
      </w:r>
    </w:p>
    <w:p>
      <w:pPr>
        <w:bidi w:val="0"/>
        <w:rPr>
          <w:sz w:val="28"/>
          <w:szCs w:val="28"/>
        </w:rPr>
      </w:pPr>
      <w:r>
        <w:rPr>
          <w:sz w:val="28"/>
          <w:szCs w:val="28"/>
        </w:rPr>
        <w:t>1.本赛项为个人赛，参赛对象为中等职业学校全日制或五年制高职一至三年级在籍学生</w:t>
      </w:r>
      <w:r>
        <w:rPr>
          <w:rFonts w:hint="eastAsia"/>
          <w:sz w:val="28"/>
          <w:szCs w:val="28"/>
        </w:rPr>
        <w:t>（含技工学校）</w:t>
      </w:r>
      <w:r>
        <w:rPr>
          <w:sz w:val="28"/>
          <w:szCs w:val="28"/>
        </w:rPr>
        <w:t>。</w:t>
      </w:r>
    </w:p>
    <w:p>
      <w:pPr>
        <w:bidi w:val="0"/>
        <w:rPr>
          <w:sz w:val="28"/>
          <w:szCs w:val="28"/>
        </w:rPr>
      </w:pPr>
      <w:r>
        <w:rPr>
          <w:rFonts w:hint="eastAsia"/>
          <w:sz w:val="28"/>
          <w:szCs w:val="28"/>
        </w:rPr>
        <w:t>2</w:t>
      </w:r>
      <w:r>
        <w:rPr>
          <w:sz w:val="28"/>
          <w:szCs w:val="28"/>
        </w:rPr>
        <w:t>.每个项目比赛前</w:t>
      </w:r>
      <w:r>
        <w:rPr>
          <w:rFonts w:hint="eastAsia"/>
          <w:sz w:val="28"/>
          <w:szCs w:val="28"/>
        </w:rPr>
        <w:t>30</w:t>
      </w:r>
      <w:r>
        <w:rPr>
          <w:sz w:val="28"/>
          <w:szCs w:val="28"/>
        </w:rPr>
        <w:t>分钟选手现场抽签，确定工位号。</w:t>
      </w:r>
    </w:p>
    <w:p>
      <w:pPr>
        <w:pStyle w:val="4"/>
        <w:bidi w:val="0"/>
        <w:rPr>
          <w:sz w:val="28"/>
          <w:szCs w:val="28"/>
        </w:rPr>
      </w:pPr>
      <w:r>
        <w:rPr>
          <w:sz w:val="28"/>
          <w:szCs w:val="28"/>
        </w:rPr>
        <w:t>五、竞赛流程</w:t>
      </w:r>
    </w:p>
    <w:p>
      <w:pPr>
        <w:bidi w:val="0"/>
        <w:rPr>
          <w:sz w:val="28"/>
          <w:szCs w:val="28"/>
        </w:rPr>
      </w:pPr>
      <w:r>
        <w:rPr>
          <w:sz w:val="28"/>
          <w:szCs w:val="28"/>
        </w:rPr>
        <w:t>各参赛队的参赛日程及竞赛顺序由赛前抽签决定，竞赛日程安排如表</w:t>
      </w:r>
      <w:r>
        <w:rPr>
          <w:rFonts w:hint="eastAsia" w:ascii="黑体" w:hAnsi="黑体" w:eastAsia="黑体" w:cs="Arial"/>
          <w:snapToGrid w:val="0"/>
          <w:color w:val="000000"/>
          <w:sz w:val="28"/>
          <w:szCs w:val="28"/>
          <w:lang w:val="en-US" w:eastAsia="zh-CN" w:bidi="ar-SA"/>
        </w:rPr>
        <w:t>4</w:t>
      </w:r>
      <w:r>
        <w:rPr>
          <w:sz w:val="28"/>
          <w:szCs w:val="28"/>
        </w:rPr>
        <w:t>所示。</w:t>
      </w:r>
    </w:p>
    <w:p>
      <w:pPr>
        <w:pStyle w:val="6"/>
        <w:bidi w:val="0"/>
        <w:jc w:val="center"/>
        <w:rPr>
          <w:sz w:val="28"/>
          <w:szCs w:val="28"/>
        </w:rPr>
      </w:pPr>
      <w:r>
        <w:rPr>
          <w:sz w:val="28"/>
          <w:szCs w:val="28"/>
        </w:rPr>
        <w:t>表</w:t>
      </w:r>
      <w:r>
        <w:rPr>
          <w:rFonts w:hint="eastAsia"/>
          <w:sz w:val="28"/>
          <w:szCs w:val="28"/>
          <w:lang w:val="en-US" w:eastAsia="zh-CN"/>
        </w:rPr>
        <w:t>4</w:t>
      </w:r>
      <w:r>
        <w:rPr>
          <w:sz w:val="28"/>
          <w:szCs w:val="28"/>
        </w:rPr>
        <w:t xml:space="preserve"> </w:t>
      </w:r>
      <w:r>
        <w:rPr>
          <w:rFonts w:hint="eastAsia"/>
          <w:sz w:val="28"/>
          <w:szCs w:val="28"/>
          <w:lang w:val="en-US" w:eastAsia="zh-CN"/>
        </w:rPr>
        <w:t xml:space="preserve"> </w:t>
      </w:r>
      <w:r>
        <w:rPr>
          <w:sz w:val="28"/>
          <w:szCs w:val="28"/>
        </w:rPr>
        <w:t>竞赛日程安排</w:t>
      </w:r>
    </w:p>
    <w:tbl>
      <w:tblPr>
        <w:tblStyle w:val="14"/>
        <w:tblW w:w="8901"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159"/>
        <w:gridCol w:w="1650"/>
        <w:gridCol w:w="60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1159" w:type="dxa"/>
            <w:tcBorders>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日期</w:t>
            </w:r>
          </w:p>
        </w:tc>
        <w:tc>
          <w:tcPr>
            <w:tcW w:w="1650"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时间</w:t>
            </w:r>
          </w:p>
        </w:tc>
        <w:tc>
          <w:tcPr>
            <w:tcW w:w="6092"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z w:val="28"/>
                <w:szCs w:val="28"/>
              </w:rPr>
            </w:pPr>
            <w:r>
              <w:rPr>
                <w:rFonts w:hint="eastAsia" w:ascii="仿宋_GB2312" w:hAnsi="仿宋_GB2312" w:eastAsia="仿宋_GB2312" w:cs="仿宋_GB2312"/>
                <w:spacing w:val="6"/>
                <w:sz w:val="28"/>
                <w:szCs w:val="28"/>
              </w:rPr>
              <w:t>工</w:t>
            </w:r>
            <w:r>
              <w:rPr>
                <w:rFonts w:hint="eastAsia" w:ascii="仿宋_GB2312" w:hAnsi="仿宋_GB2312" w:eastAsia="仿宋_GB2312" w:cs="仿宋_GB2312"/>
                <w:spacing w:val="4"/>
                <w:sz w:val="28"/>
                <w:szCs w:val="28"/>
              </w:rPr>
              <w:t>作内容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jc w:val="center"/>
        </w:trPr>
        <w:tc>
          <w:tcPr>
            <w:tcW w:w="1159" w:type="dxa"/>
            <w:tcBorders>
              <w:bottom w:val="nil"/>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lang w:eastAsia="zh-CN"/>
              </w:rPr>
              <w:t>前</w:t>
            </w:r>
            <w:r>
              <w:rPr>
                <w:rFonts w:hint="eastAsia" w:ascii="仿宋_GB2312" w:hAnsi="仿宋_GB2312" w:eastAsia="仿宋_GB2312" w:cs="仿宋_GB2312"/>
                <w:spacing w:val="8"/>
                <w:sz w:val="28"/>
                <w:szCs w:val="28"/>
              </w:rPr>
              <w:t xml:space="preserve"> 1 天</w:t>
            </w:r>
          </w:p>
        </w:tc>
        <w:tc>
          <w:tcPr>
            <w:tcW w:w="1650"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9:00-12:00</w:t>
            </w:r>
          </w:p>
        </w:tc>
        <w:tc>
          <w:tcPr>
            <w:tcW w:w="6092"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8"/>
                <w:sz w:val="28"/>
                <w:szCs w:val="28"/>
              </w:rPr>
              <w:t>参赛代表队熟悉场</w:t>
            </w:r>
            <w:r>
              <w:rPr>
                <w:rFonts w:hint="eastAsia" w:ascii="仿宋_GB2312" w:hAnsi="仿宋_GB2312" w:eastAsia="仿宋_GB2312" w:cs="仿宋_GB2312"/>
                <w:spacing w:val="6"/>
                <w:sz w:val="28"/>
                <w:szCs w:val="28"/>
              </w:rPr>
              <w:t>地</w:t>
            </w:r>
            <w:r>
              <w:rPr>
                <w:rFonts w:hint="eastAsia" w:cs="仿宋_GB2312"/>
                <w:spacing w:val="6"/>
                <w:sz w:val="28"/>
                <w:szCs w:val="28"/>
                <w:lang w:eastAsia="zh-CN"/>
              </w:rPr>
              <w:t>、抽签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jc w:val="center"/>
        </w:trPr>
        <w:tc>
          <w:tcPr>
            <w:tcW w:w="1159" w:type="dxa"/>
            <w:tcBorders>
              <w:bottom w:val="single" w:color="auto"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 xml:space="preserve">第 </w:t>
            </w:r>
            <w:r>
              <w:rPr>
                <w:rFonts w:hint="eastAsia" w:ascii="仿宋_GB2312" w:hAnsi="仿宋_GB2312" w:eastAsia="仿宋_GB2312" w:cs="仿宋_GB2312"/>
                <w:spacing w:val="8"/>
                <w:sz w:val="28"/>
                <w:szCs w:val="28"/>
                <w:lang w:val="en-US" w:eastAsia="zh-CN"/>
              </w:rPr>
              <w:t>1</w:t>
            </w:r>
            <w:r>
              <w:rPr>
                <w:rFonts w:hint="eastAsia" w:ascii="仿宋_GB2312" w:hAnsi="仿宋_GB2312" w:eastAsia="仿宋_GB2312" w:cs="仿宋_GB2312"/>
                <w:spacing w:val="8"/>
                <w:sz w:val="28"/>
                <w:szCs w:val="28"/>
              </w:rPr>
              <w:t xml:space="preserve"> 天</w:t>
            </w:r>
          </w:p>
        </w:tc>
        <w:tc>
          <w:tcPr>
            <w:tcW w:w="1650"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7:30-18:00</w:t>
            </w:r>
          </w:p>
        </w:tc>
        <w:tc>
          <w:tcPr>
            <w:tcW w:w="6092"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技能竞赛（含评委评分时间）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jc w:val="center"/>
        </w:trPr>
        <w:tc>
          <w:tcPr>
            <w:tcW w:w="1159" w:type="dxa"/>
            <w:tcBorders>
              <w:top w:val="single" w:color="auto" w:sz="4" w:space="0"/>
              <w:bottom w:val="single" w:color="auto"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第</w:t>
            </w:r>
            <w:r>
              <w:rPr>
                <w:rFonts w:hint="eastAsia" w:ascii="仿宋_GB2312" w:hAnsi="仿宋_GB2312" w:eastAsia="仿宋_GB2312" w:cs="仿宋_GB2312"/>
                <w:spacing w:val="8"/>
                <w:sz w:val="28"/>
                <w:szCs w:val="28"/>
                <w:lang w:val="en-US" w:eastAsia="zh-CN"/>
              </w:rPr>
              <w:t>2</w:t>
            </w:r>
            <w:r>
              <w:rPr>
                <w:rFonts w:hint="eastAsia" w:ascii="仿宋_GB2312" w:hAnsi="仿宋_GB2312" w:eastAsia="仿宋_GB2312" w:cs="仿宋_GB2312"/>
                <w:spacing w:val="8"/>
                <w:sz w:val="28"/>
                <w:szCs w:val="28"/>
              </w:rPr>
              <w:t xml:space="preserve"> 天</w:t>
            </w:r>
          </w:p>
        </w:tc>
        <w:tc>
          <w:tcPr>
            <w:tcW w:w="1650" w:type="dxa"/>
            <w:tcBorders>
              <w:left w:val="single" w:color="000000" w:sz="4" w:space="0"/>
              <w:bottom w:val="single" w:color="auto"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7:30-18:00</w:t>
            </w:r>
          </w:p>
        </w:tc>
        <w:tc>
          <w:tcPr>
            <w:tcW w:w="6092" w:type="dxa"/>
            <w:tcBorders>
              <w:left w:val="single" w:color="000000" w:sz="4" w:space="0"/>
              <w:right w:val="single" w:color="000000" w:sz="4" w:space="0"/>
            </w:tcBorders>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right="0" w:firstLine="0" w:firstLineChars="0"/>
              <w:jc w:val="center"/>
              <w:textAlignment w:val="baseline"/>
              <w:rPr>
                <w:rFonts w:hint="eastAsia" w:ascii="仿宋_GB2312" w:hAnsi="仿宋_GB2312" w:eastAsia="仿宋_GB2312" w:cs="仿宋_GB2312"/>
                <w:spacing w:val="8"/>
                <w:sz w:val="28"/>
                <w:szCs w:val="28"/>
              </w:rPr>
            </w:pPr>
            <w:r>
              <w:rPr>
                <w:rFonts w:hint="eastAsia" w:ascii="仿宋_GB2312" w:hAnsi="仿宋_GB2312" w:eastAsia="仿宋_GB2312" w:cs="仿宋_GB2312"/>
                <w:spacing w:val="8"/>
                <w:sz w:val="28"/>
                <w:szCs w:val="28"/>
              </w:rPr>
              <w:t>技能竞赛（含评委评分时间）</w:t>
            </w:r>
          </w:p>
        </w:tc>
      </w:tr>
    </w:tbl>
    <w:p>
      <w:pPr>
        <w:pStyle w:val="4"/>
        <w:bidi w:val="0"/>
        <w:rPr>
          <w:sz w:val="28"/>
          <w:szCs w:val="28"/>
        </w:rPr>
      </w:pPr>
      <w:r>
        <w:rPr>
          <w:rFonts w:hint="eastAsia"/>
          <w:sz w:val="28"/>
          <w:szCs w:val="28"/>
          <w:lang w:eastAsia="zh-CN"/>
        </w:rPr>
        <w:t>六</w:t>
      </w:r>
      <w:r>
        <w:rPr>
          <w:sz w:val="28"/>
          <w:szCs w:val="28"/>
        </w:rPr>
        <w:t>、竞赛规则</w:t>
      </w:r>
    </w:p>
    <w:p>
      <w:pPr>
        <w:bidi w:val="0"/>
        <w:rPr>
          <w:rFonts w:hint="eastAsia"/>
          <w:lang w:eastAsia="zh-CN"/>
        </w:rPr>
      </w:pPr>
      <w:r>
        <w:t>1.参赛选手必须为中等职业学校、五年制高职一至三年级</w:t>
      </w:r>
      <w:r>
        <w:rPr>
          <w:rFonts w:hint="eastAsia"/>
          <w:lang w:eastAsia="zh-CN"/>
        </w:rPr>
        <w:t>（</w:t>
      </w:r>
      <w:r>
        <w:t>含三年级</w:t>
      </w:r>
      <w:r>
        <w:rPr>
          <w:rFonts w:hint="eastAsia"/>
          <w:lang w:eastAsia="zh-CN"/>
        </w:rPr>
        <w:t>）</w:t>
      </w:r>
      <w:r>
        <w:t>全日制相关专业在籍学生。在籍学生</w:t>
      </w:r>
      <w:r>
        <w:rPr>
          <w:rFonts w:hint="eastAsia"/>
          <w:lang w:eastAsia="zh-CN"/>
        </w:rPr>
        <w:t>（</w:t>
      </w:r>
      <w:r>
        <w:t>参赛选手年龄不超过21周岁</w:t>
      </w:r>
      <w:r>
        <w:rPr>
          <w:rFonts w:hint="eastAsia"/>
          <w:lang w:eastAsia="zh-CN"/>
        </w:rPr>
        <w:t>）。</w:t>
      </w:r>
    </w:p>
    <w:p>
      <w:pPr>
        <w:bidi w:val="0"/>
      </w:pPr>
      <w:r>
        <w:t>2.参赛选手和指导教师报名获得确认后不得随意更换。如比赛前参赛选手和指导教师因故无法参赛，须由教育行政部门于本赛项开赛10个工作日之前出具书面说明，经大赛执委会办公室核实后予以更换。竞赛开始后，参赛队不得更换参赛队员。</w:t>
      </w:r>
    </w:p>
    <w:p>
      <w:pPr>
        <w:bidi w:val="0"/>
      </w:pPr>
      <w:r>
        <w:t>3.比赛前一天安排参赛队熟悉比赛场地，召开领队会议。参赛选手</w:t>
      </w:r>
      <w:r>
        <w:rPr>
          <w:rFonts w:hint="eastAsia"/>
        </w:rPr>
        <w:t>的</w:t>
      </w:r>
      <w:r>
        <w:t>出场顺序、位置、比赛所用器材等均由抽签决定，不得擅自变更、调整。</w:t>
      </w:r>
    </w:p>
    <w:p>
      <w:pPr>
        <w:bidi w:val="0"/>
      </w:pPr>
      <w:r>
        <w:t xml:space="preserve">4.参赛选手提前30分钟检录进入赛场，按照抽签的工位号参加比赛，竞赛开始后迟到15分钟以上者取消比赛资格；开赛 </w:t>
      </w:r>
      <w:r>
        <w:rPr>
          <w:rFonts w:hint="eastAsia"/>
        </w:rPr>
        <w:t>2</w:t>
      </w:r>
      <w:r>
        <w:t>0分钟后，选手方可离开赛场。</w:t>
      </w:r>
    </w:p>
    <w:p>
      <w:pPr>
        <w:bidi w:val="0"/>
      </w:pPr>
      <w:r>
        <w:t>5.参赛选手进入赛场必须听从现场裁判人员的统一布置和安排，比赛期间必须严格遵守安全操作规程，确保人身和设备安全。</w:t>
      </w:r>
    </w:p>
    <w:p>
      <w:pPr>
        <w:bidi w:val="0"/>
      </w:pPr>
      <w:r>
        <w:t>6.赛场提供竞赛指定的专用材料与工具，参赛选手不可自带工具。参赛选手应认真阅读竞赛须知，自觉遵守赛场纪律，按竞赛规则、项目与赛场要求进行竞赛，不得携带任何通讯及存储设备、纸质材料等物品进入赛场，赛场内提供必需用品。</w:t>
      </w:r>
    </w:p>
    <w:p>
      <w:pPr>
        <w:bidi w:val="0"/>
      </w:pPr>
      <w:r>
        <w:t>7.任何人不得以任何方式公开参赛队及个人信息。</w:t>
      </w:r>
    </w:p>
    <w:p>
      <w:pPr>
        <w:bidi w:val="0"/>
      </w:pPr>
      <w:r>
        <w:t>8.竞赛过程中如因材料、设备等原因发生故障，应由项目裁判长</w:t>
      </w:r>
      <w:r>
        <w:rPr>
          <w:rFonts w:hint="eastAsia"/>
        </w:rPr>
        <w:t>进</w:t>
      </w:r>
      <w:r>
        <w:t>行评判；若因选手个人原因造成设备故障而无法继续比赛，裁判长有权决定终止该选手比赛，若非选手原因造成设备故障的，由裁判长视具体情况做出裁决，如果裁判长确定为设备故障问题，将给参赛选手补足技术支持人员排除设备故障所耽误的竞赛时间。</w:t>
      </w:r>
    </w:p>
    <w:p>
      <w:pPr>
        <w:bidi w:val="0"/>
      </w:pPr>
      <w:r>
        <w:t>9.比赛结束前10分钟，裁判长提醒一次考生比赛时间，当裁判长宣布比赛结束后，参赛选手必须马上停止一切操作，按要求位置站立等候撤离比赛现场。</w:t>
      </w:r>
    </w:p>
    <w:p>
      <w:pPr>
        <w:bidi w:val="0"/>
      </w:pPr>
      <w:r>
        <w:t>10.参赛选手若提前结束比赛，应由选手向裁判员举手示意，比赛终止时间由裁判员记录，选手结束比赛后不得再进行任何操作，并按要求撤离比赛现场。</w:t>
      </w:r>
    </w:p>
    <w:p>
      <w:pPr>
        <w:bidi w:val="0"/>
      </w:pPr>
      <w:r>
        <w:t>11.大赛在赛项执委会领导下，裁判组严格按照评分标准负责赛项成绩评定，确保比赛成绩准确无误。竞赛成绩由裁判长和监督仲裁长审核签字后方可宣布。</w:t>
      </w:r>
    </w:p>
    <w:p>
      <w:pPr>
        <w:pStyle w:val="4"/>
        <w:bidi w:val="0"/>
        <w:rPr>
          <w:rFonts w:hint="eastAsia"/>
          <w:sz w:val="28"/>
          <w:szCs w:val="28"/>
          <w:lang w:eastAsia="zh-CN"/>
        </w:rPr>
      </w:pPr>
      <w:r>
        <w:rPr>
          <w:rFonts w:hint="eastAsia"/>
          <w:sz w:val="28"/>
          <w:szCs w:val="28"/>
          <w:lang w:eastAsia="zh-CN"/>
        </w:rPr>
        <w:t>七、竞赛环境</w:t>
      </w:r>
    </w:p>
    <w:p>
      <w:pPr>
        <w:bidi w:val="0"/>
      </w:pPr>
      <w:r>
        <w:t>竞赛场地由承办院校提供合乎规范要求的场地。四个项目分</w:t>
      </w:r>
      <w:r>
        <w:rPr>
          <w:rFonts w:hint="eastAsia"/>
          <w:lang w:val="en-US" w:eastAsia="zh-CN"/>
        </w:rPr>
        <w:t>1-2</w:t>
      </w:r>
      <w:r>
        <w:t>天完成，每个项目</w:t>
      </w:r>
      <w:r>
        <w:rPr>
          <w:rFonts w:hint="eastAsia"/>
          <w:lang w:val="en-US" w:eastAsia="zh-CN"/>
        </w:rPr>
        <w:t>2</w:t>
      </w:r>
      <w:r>
        <w:t>个工位。其竞赛场地面积和比赛工位设置如下，具体见表</w:t>
      </w:r>
      <w:r>
        <w:rPr>
          <w:rFonts w:hint="eastAsia"/>
          <w:lang w:val="en-US" w:eastAsia="zh-CN"/>
        </w:rPr>
        <w:t>5</w:t>
      </w:r>
      <w:r>
        <w:t>。</w:t>
      </w:r>
    </w:p>
    <w:p>
      <w:pPr>
        <w:pStyle w:val="6"/>
        <w:bidi w:val="0"/>
      </w:pPr>
      <w:r>
        <w:t>表</w:t>
      </w:r>
      <w:r>
        <w:rPr>
          <w:rFonts w:hint="eastAsia"/>
          <w:lang w:val="en-US" w:eastAsia="zh-CN"/>
        </w:rPr>
        <w:t>5</w:t>
      </w:r>
      <w:r>
        <w:t xml:space="preserve"> 项目占地面积及工位数</w:t>
      </w:r>
    </w:p>
    <w:tbl>
      <w:tblPr>
        <w:tblStyle w:val="14"/>
        <w:tblW w:w="860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904"/>
        <w:gridCol w:w="1992"/>
        <w:gridCol w:w="2136"/>
        <w:gridCol w:w="257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8" w:hRule="atLeast"/>
        </w:trPr>
        <w:tc>
          <w:tcPr>
            <w:tcW w:w="1904" w:type="dxa"/>
            <w:vAlign w:val="center"/>
          </w:tcPr>
          <w:p>
            <w:pPr>
              <w:pStyle w:val="7"/>
              <w:bidi w:val="0"/>
              <w:jc w:val="center"/>
            </w:pPr>
            <w:r>
              <w:t>比赛工位</w:t>
            </w:r>
          </w:p>
          <w:p>
            <w:pPr>
              <w:pStyle w:val="7"/>
              <w:bidi w:val="0"/>
              <w:jc w:val="center"/>
            </w:pPr>
            <w:r>
              <w:rPr>
                <w:rFonts w:hint="eastAsia"/>
                <w:lang w:eastAsia="zh-CN"/>
              </w:rPr>
              <w:t>（</w:t>
            </w:r>
            <w:r>
              <w:t>个</w:t>
            </w:r>
            <w:r>
              <w:rPr>
                <w:rFonts w:hint="eastAsia"/>
                <w:lang w:eastAsia="zh-CN"/>
              </w:rPr>
              <w:t>）</w:t>
            </w:r>
          </w:p>
        </w:tc>
        <w:tc>
          <w:tcPr>
            <w:tcW w:w="1992" w:type="dxa"/>
            <w:vAlign w:val="center"/>
          </w:tcPr>
          <w:p>
            <w:pPr>
              <w:pStyle w:val="7"/>
              <w:bidi w:val="0"/>
              <w:jc w:val="center"/>
            </w:pPr>
            <w:r>
              <w:t>高度要求</w:t>
            </w:r>
          </w:p>
        </w:tc>
        <w:tc>
          <w:tcPr>
            <w:tcW w:w="2136" w:type="dxa"/>
            <w:vAlign w:val="center"/>
          </w:tcPr>
          <w:p>
            <w:pPr>
              <w:pStyle w:val="7"/>
              <w:bidi w:val="0"/>
              <w:jc w:val="center"/>
            </w:pPr>
            <w:r>
              <w:t>单个工位面积</w:t>
            </w:r>
          </w:p>
          <w:p>
            <w:pPr>
              <w:pStyle w:val="7"/>
              <w:bidi w:val="0"/>
              <w:jc w:val="center"/>
            </w:pPr>
            <w:r>
              <w:t>(㎡)</w:t>
            </w:r>
          </w:p>
        </w:tc>
        <w:tc>
          <w:tcPr>
            <w:tcW w:w="2572" w:type="dxa"/>
            <w:vAlign w:val="center"/>
          </w:tcPr>
          <w:p>
            <w:pPr>
              <w:pStyle w:val="7"/>
              <w:bidi w:val="0"/>
              <w:jc w:val="center"/>
            </w:pPr>
            <w:r>
              <w:t>竞赛场地面积</w:t>
            </w:r>
          </w:p>
          <w:p>
            <w:pPr>
              <w:pStyle w:val="7"/>
              <w:bidi w:val="0"/>
              <w:jc w:val="center"/>
            </w:pPr>
            <w: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3" w:hRule="atLeast"/>
        </w:trPr>
        <w:tc>
          <w:tcPr>
            <w:tcW w:w="1904" w:type="dxa"/>
            <w:vAlign w:val="center"/>
          </w:tcPr>
          <w:p>
            <w:pPr>
              <w:pStyle w:val="7"/>
              <w:bidi w:val="0"/>
              <w:jc w:val="center"/>
              <w:rPr>
                <w:rFonts w:hint="eastAsia" w:eastAsia="仿宋_GB2312"/>
                <w:lang w:eastAsia="zh-CN"/>
              </w:rPr>
            </w:pPr>
            <w:r>
              <w:rPr>
                <w:rFonts w:hint="eastAsia"/>
                <w:lang w:val="en-US" w:eastAsia="zh-CN"/>
              </w:rPr>
              <w:t>6</w:t>
            </w:r>
          </w:p>
        </w:tc>
        <w:tc>
          <w:tcPr>
            <w:tcW w:w="1992" w:type="dxa"/>
            <w:vAlign w:val="center"/>
          </w:tcPr>
          <w:p>
            <w:pPr>
              <w:pStyle w:val="7"/>
              <w:bidi w:val="0"/>
              <w:jc w:val="center"/>
            </w:pPr>
            <w:r>
              <w:t>净高大于 4.5m</w:t>
            </w:r>
          </w:p>
        </w:tc>
        <w:tc>
          <w:tcPr>
            <w:tcW w:w="2136" w:type="dxa"/>
            <w:vAlign w:val="center"/>
          </w:tcPr>
          <w:p>
            <w:pPr>
              <w:pStyle w:val="7"/>
              <w:bidi w:val="0"/>
              <w:jc w:val="center"/>
            </w:pPr>
            <w:r>
              <w:rPr>
                <w:rFonts w:hint="eastAsia"/>
              </w:rPr>
              <w:t>2</w:t>
            </w:r>
            <w:r>
              <w:t>0</w:t>
            </w:r>
          </w:p>
        </w:tc>
        <w:tc>
          <w:tcPr>
            <w:tcW w:w="2572" w:type="dxa"/>
            <w:vAlign w:val="center"/>
          </w:tcPr>
          <w:p>
            <w:pPr>
              <w:pStyle w:val="7"/>
              <w:bidi w:val="0"/>
              <w:jc w:val="center"/>
              <w:rPr>
                <w:rFonts w:hint="default" w:eastAsia="仿宋_GB2312"/>
                <w:lang w:val="en-US" w:eastAsia="zh-CN"/>
              </w:rPr>
            </w:pPr>
            <w:r>
              <w:rPr>
                <w:rFonts w:hint="eastAsia"/>
                <w:lang w:val="en-US" w:eastAsia="zh-CN"/>
              </w:rPr>
              <w:t>120</w:t>
            </w:r>
          </w:p>
        </w:tc>
      </w:tr>
    </w:tbl>
    <w:p>
      <w:pPr>
        <w:pStyle w:val="6"/>
        <w:keepNext w:val="0"/>
        <w:keepLines/>
        <w:pageBreakBefore w:val="0"/>
        <w:widowControl/>
        <w:kinsoku w:val="0"/>
        <w:wordWrap/>
        <w:overflowPunct/>
        <w:topLinePunct w:val="0"/>
        <w:autoSpaceDE w:val="0"/>
        <w:autoSpaceDN w:val="0"/>
        <w:bidi w:val="0"/>
        <w:adjustRightInd w:val="0"/>
        <w:snapToGrid w:val="0"/>
        <w:textAlignment w:val="baseline"/>
        <w:rPr>
          <w:rFonts w:hint="eastAsia"/>
        </w:rPr>
      </w:pPr>
      <w:r>
        <w:t>承办校比赛场地</w:t>
      </w:r>
      <w:r>
        <w:rPr>
          <w:rFonts w:hint="eastAsia"/>
        </w:rPr>
        <w:t>需</w:t>
      </w:r>
      <w:r>
        <w:t>提供稳定的电、气源，场地采光、照明和通风良好。</w:t>
      </w:r>
    </w:p>
    <w:p>
      <w:pPr>
        <w:bidi w:val="0"/>
      </w:pPr>
      <w:r>
        <w:t>赛场设有裁判工作区、休息区、监督仲裁室、专家室、选手封闭室、卫生间等区域；裁判工作区、监督仲裁室、选手封闭区刚性隔离，配备志愿者，严禁外人进入；现场配音响设备、计时器，准确把控竞赛时间；赛场准备机要室，严禁外人进入，钥匙由裁判长和监督仲裁长分别掌握</w:t>
      </w:r>
      <w:r>
        <w:rPr>
          <w:rFonts w:hint="eastAsia"/>
        </w:rPr>
        <w:t>；配备医疗室。</w:t>
      </w:r>
    </w:p>
    <w:p>
      <w:pPr>
        <w:pStyle w:val="4"/>
        <w:bidi w:val="0"/>
        <w:rPr>
          <w:rFonts w:hint="eastAsia"/>
          <w:sz w:val="28"/>
          <w:szCs w:val="28"/>
          <w:lang w:eastAsia="zh-CN"/>
        </w:rPr>
      </w:pPr>
      <w:r>
        <w:rPr>
          <w:rFonts w:hint="eastAsia"/>
          <w:sz w:val="28"/>
          <w:szCs w:val="28"/>
          <w:lang w:eastAsia="zh-CN"/>
        </w:rPr>
        <w:t>八、技术规范</w:t>
      </w:r>
    </w:p>
    <w:p>
      <w:pPr>
        <w:bidi w:val="0"/>
      </w:pPr>
      <w:r>
        <w:t>工具的选用与正确使用；量具的选用与正确使用；钳工装配知识、维修设备的使用方法。</w:t>
      </w:r>
    </w:p>
    <w:p>
      <w:pPr>
        <w:bidi w:val="0"/>
      </w:pPr>
      <w:r>
        <w:t>掌握拖拉机底盘传动系统、制动系统的检查与调整方法；拖拉机液压系统压力的检测方法；掌握起动前准备及安全注意事项；诊断排除发动机电控高压共轨系统的故障。</w:t>
      </w:r>
    </w:p>
    <w:p>
      <w:pPr>
        <w:bidi w:val="0"/>
      </w:pPr>
      <w:r>
        <w:t>掌握联合收割机技术维护内容。</w:t>
      </w:r>
    </w:p>
    <w:p>
      <w:pPr>
        <w:bidi w:val="0"/>
      </w:pPr>
      <w:r>
        <w:t>掌握拖拉机和联合收割机常用零件鉴定方法。</w:t>
      </w:r>
    </w:p>
    <w:p>
      <w:pPr>
        <w:bidi w:val="0"/>
      </w:pPr>
      <w:r>
        <w:t>掌握多旋翼植保无人机综合故障诊断与排除。掌握动力系统故障与排除；喷洒系统故障与排除；通讯系统故障与排除等。</w:t>
      </w:r>
    </w:p>
    <w:p>
      <w:pPr>
        <w:bidi w:val="0"/>
      </w:pPr>
      <w:r>
        <w:t>掌握相关技术标准：</w:t>
      </w:r>
    </w:p>
    <w:p>
      <w:pPr>
        <w:bidi w:val="0"/>
        <w:rPr>
          <w:rFonts w:hint="eastAsia" w:eastAsia="仿宋_GB2312"/>
          <w:lang w:eastAsia="zh-CN"/>
        </w:rPr>
      </w:pPr>
      <w:r>
        <w:rPr>
          <w:rFonts w:hint="eastAsia"/>
          <w:lang w:eastAsia="zh-CN"/>
        </w:rPr>
        <w:t>（</w:t>
      </w:r>
      <w:r>
        <w:rPr>
          <w:rFonts w:hint="eastAsia"/>
          <w:lang w:val="en-US" w:eastAsia="zh-CN"/>
        </w:rPr>
        <w:t>1</w:t>
      </w:r>
      <w:r>
        <w:rPr>
          <w:rFonts w:hint="eastAsia"/>
          <w:lang w:eastAsia="zh-CN"/>
        </w:rPr>
        <w:t>）</w:t>
      </w:r>
      <w:r>
        <w:t>农机修理工职业标准</w:t>
      </w:r>
      <w:r>
        <w:rPr>
          <w:rFonts w:hint="eastAsia"/>
          <w:lang w:eastAsia="zh-CN"/>
        </w:rPr>
        <w:t>（</w:t>
      </w:r>
      <w:r>
        <w:t>职业编码5-05-05-02)</w:t>
      </w:r>
      <w:r>
        <w:rPr>
          <w:rFonts w:hint="eastAsia"/>
          <w:lang w:eastAsia="zh-CN"/>
        </w:rPr>
        <w:t>；</w:t>
      </w:r>
    </w:p>
    <w:p>
      <w:pPr>
        <w:bidi w:val="0"/>
        <w:rPr>
          <w:rFonts w:hint="eastAsia"/>
          <w:lang w:eastAsia="zh-CN"/>
        </w:rPr>
      </w:pPr>
      <w:r>
        <w:rPr>
          <w:rFonts w:hint="eastAsia"/>
          <w:lang w:eastAsia="zh-CN"/>
        </w:rPr>
        <w:t>（</w:t>
      </w:r>
      <w:r>
        <w:rPr>
          <w:rFonts w:hint="eastAsia"/>
          <w:lang w:val="en-US" w:eastAsia="zh-CN"/>
        </w:rPr>
        <w:t>2</w:t>
      </w:r>
      <w:r>
        <w:rPr>
          <w:rFonts w:hint="eastAsia"/>
          <w:lang w:eastAsia="zh-CN"/>
        </w:rPr>
        <w:t>）</w:t>
      </w:r>
      <w:r>
        <w:t>普通和窄V带传动第1部分：基准宽度制GB/T13575.1-2008</w:t>
      </w:r>
      <w:r>
        <w:rPr>
          <w:rFonts w:hint="eastAsia"/>
          <w:lang w:eastAsia="zh-CN"/>
        </w:rPr>
        <w:t>；</w:t>
      </w:r>
    </w:p>
    <w:p>
      <w:pPr>
        <w:bidi w:val="0"/>
        <w:rPr>
          <w:rFonts w:hint="eastAsia" w:ascii="仿宋" w:hAnsi="仿宋" w:eastAsia="仿宋_GB2312" w:cs="仿宋"/>
          <w:sz w:val="28"/>
          <w:szCs w:val="28"/>
          <w:lang w:eastAsia="zh-CN"/>
        </w:rPr>
      </w:pPr>
      <w:r>
        <w:rPr>
          <w:rFonts w:hint="eastAsia"/>
          <w:lang w:eastAsia="zh-CN"/>
        </w:rPr>
        <w:t>（</w:t>
      </w:r>
      <w:r>
        <w:rPr>
          <w:rFonts w:hint="eastAsia"/>
          <w:lang w:val="en-US" w:eastAsia="zh-CN"/>
        </w:rPr>
        <w:t>3</w:t>
      </w:r>
      <w:r>
        <w:rPr>
          <w:rFonts w:hint="eastAsia"/>
          <w:lang w:eastAsia="zh-CN"/>
        </w:rPr>
        <w:t>）</w:t>
      </w:r>
      <w:r>
        <w:t>机械安全机械电气设备第1部分通用技术条件GB5226.1-2008</w:t>
      </w:r>
      <w:r>
        <w:rPr>
          <w:rFonts w:hint="eastAsia"/>
          <w:lang w:eastAsia="zh-CN"/>
        </w:rPr>
        <w:t>。</w:t>
      </w:r>
    </w:p>
    <w:p>
      <w:pPr>
        <w:pStyle w:val="4"/>
        <w:bidi w:val="0"/>
        <w:rPr>
          <w:rFonts w:hint="eastAsia"/>
          <w:sz w:val="28"/>
          <w:szCs w:val="28"/>
          <w:lang w:eastAsia="zh-CN"/>
        </w:rPr>
      </w:pPr>
      <w:r>
        <w:rPr>
          <w:rFonts w:hint="eastAsia"/>
          <w:sz w:val="28"/>
          <w:szCs w:val="28"/>
          <w:lang w:eastAsia="zh-CN"/>
        </w:rPr>
        <w:t>九、技术平台</w:t>
      </w:r>
    </w:p>
    <w:p>
      <w:pPr>
        <w:bidi w:val="0"/>
      </w:pPr>
      <w:r>
        <w:t>1.拖拉机和联合收割机选用国内市场占有率高的主流机型，植保无人机选用国内市场占有率高的主流机型。</w:t>
      </w:r>
    </w:p>
    <w:p>
      <w:pPr>
        <w:bidi w:val="0"/>
      </w:pPr>
      <w:r>
        <w:t>2.比赛用工具由国内知名厂家提供。</w:t>
      </w:r>
    </w:p>
    <w:p>
      <w:pPr>
        <w:bidi w:val="0"/>
      </w:pPr>
      <w:r>
        <w:t>竞赛每工位所需的设备、器具、材料见表</w:t>
      </w:r>
      <w:r>
        <w:rPr>
          <w:rFonts w:hint="eastAsia"/>
          <w:lang w:val="en-US" w:eastAsia="zh-CN"/>
        </w:rPr>
        <w:t>6</w:t>
      </w:r>
      <w:r>
        <w:t>。</w:t>
      </w:r>
    </w:p>
    <w:p>
      <w:pPr>
        <w:pStyle w:val="6"/>
        <w:bidi w:val="0"/>
      </w:pPr>
      <w:r>
        <w:t>表</w:t>
      </w:r>
      <w:r>
        <w:rPr>
          <w:rFonts w:hint="eastAsia"/>
          <w:lang w:val="en-US" w:eastAsia="zh-CN"/>
        </w:rPr>
        <w:t>6</w:t>
      </w:r>
      <w:r>
        <w:t xml:space="preserve"> </w:t>
      </w:r>
      <w:r>
        <w:rPr>
          <w:rFonts w:hint="eastAsia"/>
          <w:lang w:val="en-US" w:eastAsia="zh-CN"/>
        </w:rPr>
        <w:t xml:space="preserve"> </w:t>
      </w:r>
      <w:r>
        <w:t>竞赛设备、器具、材料</w:t>
      </w:r>
    </w:p>
    <w:tbl>
      <w:tblPr>
        <w:tblStyle w:val="14"/>
        <w:tblW w:w="85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80"/>
        <w:gridCol w:w="2485"/>
        <w:gridCol w:w="2394"/>
        <w:gridCol w:w="849"/>
        <w:gridCol w:w="850"/>
        <w:gridCol w:w="110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880" w:type="dxa"/>
            <w:vAlign w:val="center"/>
          </w:tcPr>
          <w:p>
            <w:pPr>
              <w:pStyle w:val="7"/>
              <w:bidi w:val="0"/>
              <w:jc w:val="center"/>
            </w:pPr>
            <w:r>
              <w:t>序号</w:t>
            </w:r>
          </w:p>
        </w:tc>
        <w:tc>
          <w:tcPr>
            <w:tcW w:w="2485" w:type="dxa"/>
            <w:vAlign w:val="center"/>
          </w:tcPr>
          <w:p>
            <w:pPr>
              <w:pStyle w:val="7"/>
              <w:bidi w:val="0"/>
              <w:jc w:val="center"/>
            </w:pPr>
            <w:r>
              <w:t>设备、器具、材料</w:t>
            </w:r>
          </w:p>
        </w:tc>
        <w:tc>
          <w:tcPr>
            <w:tcW w:w="2394" w:type="dxa"/>
            <w:vAlign w:val="center"/>
          </w:tcPr>
          <w:p>
            <w:pPr>
              <w:pStyle w:val="7"/>
              <w:bidi w:val="0"/>
              <w:jc w:val="center"/>
            </w:pPr>
            <w:r>
              <w:t>规格、型号</w:t>
            </w:r>
          </w:p>
        </w:tc>
        <w:tc>
          <w:tcPr>
            <w:tcW w:w="849" w:type="dxa"/>
            <w:vAlign w:val="center"/>
          </w:tcPr>
          <w:p>
            <w:pPr>
              <w:pStyle w:val="7"/>
              <w:bidi w:val="0"/>
              <w:jc w:val="center"/>
            </w:pPr>
            <w:r>
              <w:t>单位</w:t>
            </w:r>
          </w:p>
        </w:tc>
        <w:tc>
          <w:tcPr>
            <w:tcW w:w="850" w:type="dxa"/>
            <w:vAlign w:val="center"/>
          </w:tcPr>
          <w:p>
            <w:pPr>
              <w:pStyle w:val="7"/>
              <w:bidi w:val="0"/>
              <w:jc w:val="center"/>
            </w:pPr>
            <w:r>
              <w:t>数量</w:t>
            </w:r>
          </w:p>
        </w:tc>
        <w:tc>
          <w:tcPr>
            <w:tcW w:w="1101" w:type="dxa"/>
            <w:vAlign w:val="center"/>
          </w:tcPr>
          <w:p>
            <w:pPr>
              <w:pStyle w:val="7"/>
              <w:bidi w:val="0"/>
              <w:jc w:val="center"/>
            </w:pPr>
            <w:r>
              <w:t>备注</w:t>
            </w:r>
          </w:p>
        </w:tc>
      </w:tr>
      <w:tr>
        <w:tblPrEx>
          <w:tblCellMar>
            <w:top w:w="0" w:type="dxa"/>
            <w:left w:w="0" w:type="dxa"/>
            <w:bottom w:w="0" w:type="dxa"/>
            <w:right w:w="0" w:type="dxa"/>
          </w:tblCellMar>
        </w:tblPrEx>
        <w:trPr>
          <w:trHeight w:val="468"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rPr>
                <w:rFonts w:hint="eastAsia" w:eastAsia="仿宋_GB2312"/>
                <w:lang w:eastAsia="zh-CN"/>
              </w:rPr>
            </w:pPr>
            <w:r>
              <w:rPr>
                <w:rFonts w:hint="eastAsia"/>
                <w:lang w:eastAsia="zh-CN"/>
              </w:rPr>
              <w:t>发动机</w:t>
            </w:r>
          </w:p>
        </w:tc>
        <w:tc>
          <w:tcPr>
            <w:tcW w:w="2394" w:type="dxa"/>
            <w:vAlign w:val="center"/>
          </w:tcPr>
          <w:p>
            <w:pPr>
              <w:pStyle w:val="7"/>
              <w:bidi w:val="0"/>
            </w:pPr>
          </w:p>
        </w:tc>
        <w:tc>
          <w:tcPr>
            <w:tcW w:w="849" w:type="dxa"/>
            <w:vAlign w:val="center"/>
          </w:tcPr>
          <w:p>
            <w:pPr>
              <w:pStyle w:val="7"/>
              <w:bidi w:val="0"/>
            </w:pPr>
            <w:r>
              <w:t>台</w:t>
            </w:r>
          </w:p>
        </w:tc>
        <w:tc>
          <w:tcPr>
            <w:tcW w:w="850" w:type="dxa"/>
            <w:vAlign w:val="center"/>
          </w:tcPr>
          <w:p>
            <w:pPr>
              <w:pStyle w:val="7"/>
              <w:bidi w:val="0"/>
              <w:rPr>
                <w:rFonts w:hint="eastAsia" w:eastAsia="仿宋_GB2312"/>
                <w:lang w:eastAsia="zh-CN"/>
              </w:rPr>
            </w:pPr>
            <w:r>
              <w:rPr>
                <w:rFonts w:hint="eastAsia"/>
                <w:lang w:val="en-US" w:eastAsia="zh-CN"/>
              </w:rPr>
              <w:t>2</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4"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pPr>
            <w:r>
              <w:t>工具车</w:t>
            </w:r>
          </w:p>
        </w:tc>
        <w:tc>
          <w:tcPr>
            <w:tcW w:w="2394" w:type="dxa"/>
          </w:tcPr>
          <w:p>
            <w:pPr>
              <w:pStyle w:val="7"/>
              <w:bidi w:val="0"/>
            </w:pPr>
          </w:p>
        </w:tc>
        <w:tc>
          <w:tcPr>
            <w:tcW w:w="849" w:type="dxa"/>
            <w:vAlign w:val="center"/>
          </w:tcPr>
          <w:p>
            <w:pPr>
              <w:pStyle w:val="7"/>
              <w:bidi w:val="0"/>
            </w:pPr>
            <w:r>
              <w:t>台</w:t>
            </w:r>
          </w:p>
        </w:tc>
        <w:tc>
          <w:tcPr>
            <w:tcW w:w="850" w:type="dxa"/>
            <w:vAlign w:val="center"/>
          </w:tcPr>
          <w:p>
            <w:pPr>
              <w:pStyle w:val="7"/>
              <w:bidi w:val="0"/>
            </w:pPr>
            <w:r>
              <w:rPr>
                <w:rFonts w:hint="eastAsia"/>
              </w:rPr>
              <w:t>16</w:t>
            </w:r>
          </w:p>
        </w:tc>
        <w:tc>
          <w:tcPr>
            <w:tcW w:w="1101" w:type="dxa"/>
          </w:tcPr>
          <w:p>
            <w:pPr>
              <w:pStyle w:val="7"/>
              <w:bidi w:val="0"/>
            </w:pPr>
            <w:r>
              <w:t>5-7 层，摆放拆装工具及检测仪器、安全帽等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pPr>
            <w:r>
              <w:t>各类总成件</w:t>
            </w:r>
          </w:p>
        </w:tc>
        <w:tc>
          <w:tcPr>
            <w:tcW w:w="2394" w:type="dxa"/>
          </w:tcPr>
          <w:p>
            <w:pPr>
              <w:pStyle w:val="7"/>
              <w:bidi w:val="0"/>
            </w:pPr>
          </w:p>
        </w:tc>
        <w:tc>
          <w:tcPr>
            <w:tcW w:w="849" w:type="dxa"/>
            <w:vAlign w:val="center"/>
          </w:tcPr>
          <w:p>
            <w:pPr>
              <w:pStyle w:val="7"/>
              <w:bidi w:val="0"/>
            </w:pPr>
            <w:r>
              <w:t>套</w:t>
            </w:r>
          </w:p>
        </w:tc>
        <w:tc>
          <w:tcPr>
            <w:tcW w:w="850" w:type="dxa"/>
            <w:vAlign w:val="center"/>
          </w:tcPr>
          <w:p>
            <w:pPr>
              <w:pStyle w:val="7"/>
              <w:bidi w:val="0"/>
              <w:rPr>
                <w:rFonts w:hint="eastAsia" w:eastAsia="仿宋_GB2312"/>
                <w:lang w:eastAsia="zh-CN"/>
              </w:rPr>
            </w:pPr>
            <w:r>
              <w:rPr>
                <w:rFonts w:hint="eastAsia"/>
                <w:lang w:val="en-US" w:eastAsia="zh-CN"/>
              </w:rPr>
              <w:t>6</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52"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pPr>
            <w:r>
              <w:t>组合工具</w:t>
            </w:r>
          </w:p>
        </w:tc>
        <w:tc>
          <w:tcPr>
            <w:tcW w:w="2394" w:type="dxa"/>
          </w:tcPr>
          <w:p>
            <w:pPr>
              <w:pStyle w:val="7"/>
              <w:bidi w:val="0"/>
            </w:pPr>
            <w:r>
              <w:t>配套 2-3 种棘轮扳</w:t>
            </w:r>
          </w:p>
          <w:p>
            <w:pPr>
              <w:pStyle w:val="7"/>
              <w:bidi w:val="0"/>
            </w:pPr>
            <w:r>
              <w:t>手、连接杆、多种规</w:t>
            </w:r>
          </w:p>
          <w:p>
            <w:pPr>
              <w:pStyle w:val="7"/>
              <w:bidi w:val="0"/>
            </w:pPr>
            <w:r>
              <w:t>格套筒、一端梅花一</w:t>
            </w:r>
          </w:p>
          <w:p>
            <w:pPr>
              <w:pStyle w:val="7"/>
              <w:bidi w:val="0"/>
            </w:pPr>
            <w:r>
              <w:t>端开口两用扳手</w:t>
            </w:r>
          </w:p>
        </w:tc>
        <w:tc>
          <w:tcPr>
            <w:tcW w:w="849" w:type="dxa"/>
            <w:vAlign w:val="center"/>
          </w:tcPr>
          <w:p>
            <w:pPr>
              <w:pStyle w:val="7"/>
              <w:bidi w:val="0"/>
            </w:pPr>
            <w:r>
              <w:t>套</w:t>
            </w:r>
          </w:p>
        </w:tc>
        <w:tc>
          <w:tcPr>
            <w:tcW w:w="850" w:type="dxa"/>
            <w:vAlign w:val="center"/>
          </w:tcPr>
          <w:p>
            <w:pPr>
              <w:pStyle w:val="7"/>
              <w:bidi w:val="0"/>
            </w:pPr>
            <w:r>
              <w:rPr>
                <w:rFonts w:hint="eastAsia"/>
              </w:rPr>
              <w:t>20</w:t>
            </w:r>
          </w:p>
        </w:tc>
        <w:tc>
          <w:tcPr>
            <w:tcW w:w="1101" w:type="dxa"/>
          </w:tcPr>
          <w:p>
            <w:pPr>
              <w:pStyle w:val="7"/>
              <w:bidi w:val="0"/>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pPr>
            <w:r>
              <w:t>扭力扳手</w:t>
            </w:r>
          </w:p>
        </w:tc>
        <w:tc>
          <w:tcPr>
            <w:tcW w:w="2394" w:type="dxa"/>
          </w:tcPr>
          <w:p>
            <w:pPr>
              <w:pStyle w:val="7"/>
              <w:bidi w:val="0"/>
            </w:pPr>
          </w:p>
        </w:tc>
        <w:tc>
          <w:tcPr>
            <w:tcW w:w="849" w:type="dxa"/>
            <w:vAlign w:val="center"/>
          </w:tcPr>
          <w:p>
            <w:pPr>
              <w:pStyle w:val="7"/>
              <w:bidi w:val="0"/>
            </w:pPr>
            <w:r>
              <w:t>把</w:t>
            </w:r>
          </w:p>
        </w:tc>
        <w:tc>
          <w:tcPr>
            <w:tcW w:w="850" w:type="dxa"/>
            <w:vAlign w:val="center"/>
          </w:tcPr>
          <w:p>
            <w:pPr>
              <w:pStyle w:val="7"/>
              <w:bidi w:val="0"/>
            </w:pPr>
            <w:r>
              <w:rPr>
                <w:rFonts w:hint="eastAsia"/>
              </w:rPr>
              <w:t>20</w:t>
            </w:r>
          </w:p>
        </w:tc>
        <w:tc>
          <w:tcPr>
            <w:tcW w:w="1101" w:type="dxa"/>
          </w:tcPr>
          <w:p>
            <w:pPr>
              <w:pStyle w:val="7"/>
              <w:bidi w:val="0"/>
            </w:pPr>
          </w:p>
        </w:tc>
      </w:tr>
      <w:tr>
        <w:tblPrEx>
          <w:tblCellMar>
            <w:top w:w="0" w:type="dxa"/>
            <w:left w:w="0" w:type="dxa"/>
            <w:bottom w:w="0" w:type="dxa"/>
            <w:right w:w="0" w:type="dxa"/>
          </w:tblCellMar>
        </w:tblPrEx>
        <w:trPr>
          <w:trHeight w:val="418"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数显万用表</w:t>
            </w:r>
          </w:p>
        </w:tc>
        <w:tc>
          <w:tcPr>
            <w:tcW w:w="2394" w:type="dxa"/>
          </w:tcPr>
          <w:p>
            <w:pPr>
              <w:pStyle w:val="7"/>
              <w:bidi w:val="0"/>
            </w:pPr>
          </w:p>
        </w:tc>
        <w:tc>
          <w:tcPr>
            <w:tcW w:w="849" w:type="dxa"/>
            <w:vAlign w:val="center"/>
          </w:tcPr>
          <w:p>
            <w:pPr>
              <w:pStyle w:val="7"/>
              <w:bidi w:val="0"/>
            </w:pPr>
            <w:r>
              <w:t>只</w:t>
            </w:r>
          </w:p>
        </w:tc>
        <w:tc>
          <w:tcPr>
            <w:tcW w:w="850" w:type="dxa"/>
            <w:vAlign w:val="center"/>
          </w:tcPr>
          <w:p>
            <w:pPr>
              <w:pStyle w:val="7"/>
              <w:bidi w:val="0"/>
            </w:pPr>
            <w:r>
              <w:rPr>
                <w:rFonts w:hint="eastAsia"/>
              </w:rPr>
              <w:t>20</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0"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指针式万用表</w:t>
            </w:r>
          </w:p>
        </w:tc>
        <w:tc>
          <w:tcPr>
            <w:tcW w:w="2394" w:type="dxa"/>
          </w:tcPr>
          <w:p>
            <w:pPr>
              <w:pStyle w:val="7"/>
              <w:bidi w:val="0"/>
            </w:pPr>
          </w:p>
        </w:tc>
        <w:tc>
          <w:tcPr>
            <w:tcW w:w="849" w:type="dxa"/>
          </w:tcPr>
          <w:p>
            <w:pPr>
              <w:pStyle w:val="7"/>
              <w:bidi w:val="0"/>
            </w:pPr>
            <w:r>
              <w:t>只</w:t>
            </w:r>
          </w:p>
        </w:tc>
        <w:tc>
          <w:tcPr>
            <w:tcW w:w="850" w:type="dxa"/>
          </w:tcPr>
          <w:p>
            <w:pPr>
              <w:pStyle w:val="7"/>
              <w:bidi w:val="0"/>
            </w:pPr>
            <w:r>
              <w:rPr>
                <w:rFonts w:hint="eastAsia"/>
              </w:rPr>
              <w:t>20</w:t>
            </w:r>
          </w:p>
        </w:tc>
        <w:tc>
          <w:tcPr>
            <w:tcW w:w="1101" w:type="dxa"/>
          </w:tcPr>
          <w:p>
            <w:pPr>
              <w:pStyle w:val="7"/>
              <w:bidi w:val="0"/>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试灯笔</w:t>
            </w:r>
          </w:p>
        </w:tc>
        <w:tc>
          <w:tcPr>
            <w:tcW w:w="2394" w:type="dxa"/>
          </w:tcPr>
          <w:p>
            <w:pPr>
              <w:pStyle w:val="7"/>
              <w:bidi w:val="0"/>
            </w:pPr>
          </w:p>
        </w:tc>
        <w:tc>
          <w:tcPr>
            <w:tcW w:w="849" w:type="dxa"/>
          </w:tcPr>
          <w:p>
            <w:pPr>
              <w:pStyle w:val="7"/>
              <w:bidi w:val="0"/>
            </w:pPr>
            <w:r>
              <w:t>只</w:t>
            </w:r>
          </w:p>
        </w:tc>
        <w:tc>
          <w:tcPr>
            <w:tcW w:w="850" w:type="dxa"/>
          </w:tcPr>
          <w:p>
            <w:pPr>
              <w:pStyle w:val="7"/>
              <w:bidi w:val="0"/>
            </w:pPr>
            <w:r>
              <w:rPr>
                <w:rFonts w:hint="eastAsia"/>
              </w:rPr>
              <w:t>20</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不锈钢游标卡尺</w:t>
            </w:r>
          </w:p>
        </w:tc>
        <w:tc>
          <w:tcPr>
            <w:tcW w:w="2394" w:type="dxa"/>
          </w:tcPr>
          <w:p>
            <w:pPr>
              <w:pStyle w:val="7"/>
              <w:bidi w:val="0"/>
            </w:pPr>
            <w:r>
              <w:t>0</w:t>
            </w:r>
            <w:r>
              <w:rPr>
                <w:rFonts w:hint="eastAsia"/>
              </w:rPr>
              <w:t>-</w:t>
            </w:r>
            <w:r>
              <w:t>200mm，</w:t>
            </w:r>
          </w:p>
        </w:tc>
        <w:tc>
          <w:tcPr>
            <w:tcW w:w="849" w:type="dxa"/>
          </w:tcPr>
          <w:p>
            <w:pPr>
              <w:pStyle w:val="7"/>
              <w:bidi w:val="0"/>
            </w:pPr>
            <w:r>
              <w:t>把</w:t>
            </w:r>
          </w:p>
        </w:tc>
        <w:tc>
          <w:tcPr>
            <w:tcW w:w="850" w:type="dxa"/>
          </w:tcPr>
          <w:p>
            <w:pPr>
              <w:pStyle w:val="7"/>
              <w:bidi w:val="0"/>
            </w:pPr>
            <w:r>
              <w:rPr>
                <w:rFonts w:hint="eastAsia"/>
              </w:rPr>
              <w:t>20</w:t>
            </w:r>
          </w:p>
        </w:tc>
        <w:tc>
          <w:tcPr>
            <w:tcW w:w="1101" w:type="dxa"/>
          </w:tcPr>
          <w:p>
            <w:pPr>
              <w:pStyle w:val="7"/>
              <w:bidi w:val="0"/>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工作台</w:t>
            </w:r>
          </w:p>
        </w:tc>
        <w:tc>
          <w:tcPr>
            <w:tcW w:w="2394" w:type="dxa"/>
          </w:tcPr>
          <w:p>
            <w:pPr>
              <w:pStyle w:val="7"/>
              <w:bidi w:val="0"/>
            </w:pPr>
            <w:r>
              <w:t>1350mm*650mm*800</w:t>
            </w:r>
          </w:p>
        </w:tc>
        <w:tc>
          <w:tcPr>
            <w:tcW w:w="849" w:type="dxa"/>
          </w:tcPr>
          <w:p>
            <w:pPr>
              <w:pStyle w:val="7"/>
              <w:bidi w:val="0"/>
            </w:pPr>
            <w:r>
              <w:t>张</w:t>
            </w:r>
          </w:p>
        </w:tc>
        <w:tc>
          <w:tcPr>
            <w:tcW w:w="850" w:type="dxa"/>
          </w:tcPr>
          <w:p>
            <w:pPr>
              <w:pStyle w:val="7"/>
              <w:bidi w:val="0"/>
            </w:pPr>
            <w:r>
              <w:rPr>
                <w:rFonts w:hint="eastAsia"/>
              </w:rPr>
              <w:t>20</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桌子</w:t>
            </w:r>
          </w:p>
        </w:tc>
        <w:tc>
          <w:tcPr>
            <w:tcW w:w="2394" w:type="dxa"/>
          </w:tcPr>
          <w:p>
            <w:pPr>
              <w:pStyle w:val="7"/>
              <w:bidi w:val="0"/>
            </w:pPr>
          </w:p>
        </w:tc>
        <w:tc>
          <w:tcPr>
            <w:tcW w:w="849" w:type="dxa"/>
          </w:tcPr>
          <w:p>
            <w:pPr>
              <w:pStyle w:val="7"/>
              <w:bidi w:val="0"/>
            </w:pPr>
            <w:r>
              <w:t>张</w:t>
            </w:r>
          </w:p>
        </w:tc>
        <w:tc>
          <w:tcPr>
            <w:tcW w:w="850" w:type="dxa"/>
          </w:tcPr>
          <w:p>
            <w:pPr>
              <w:pStyle w:val="7"/>
              <w:bidi w:val="0"/>
            </w:pPr>
            <w:r>
              <w:t>128</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凳子</w:t>
            </w:r>
          </w:p>
        </w:tc>
        <w:tc>
          <w:tcPr>
            <w:tcW w:w="2394" w:type="dxa"/>
            <w:vAlign w:val="center"/>
          </w:tcPr>
          <w:p>
            <w:pPr>
              <w:pStyle w:val="7"/>
              <w:bidi w:val="0"/>
              <w:jc w:val="center"/>
            </w:pPr>
          </w:p>
        </w:tc>
        <w:tc>
          <w:tcPr>
            <w:tcW w:w="849" w:type="dxa"/>
            <w:vAlign w:val="center"/>
          </w:tcPr>
          <w:p>
            <w:pPr>
              <w:pStyle w:val="7"/>
              <w:bidi w:val="0"/>
              <w:jc w:val="center"/>
            </w:pPr>
            <w:r>
              <w:t>张</w:t>
            </w:r>
          </w:p>
        </w:tc>
        <w:tc>
          <w:tcPr>
            <w:tcW w:w="850" w:type="dxa"/>
            <w:vAlign w:val="center"/>
          </w:tcPr>
          <w:p>
            <w:pPr>
              <w:pStyle w:val="7"/>
              <w:bidi w:val="0"/>
              <w:jc w:val="center"/>
            </w:pPr>
            <w:r>
              <w:t>64</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T 型线 1</w:t>
            </w:r>
          </w:p>
        </w:tc>
        <w:tc>
          <w:tcPr>
            <w:tcW w:w="2394" w:type="dxa"/>
            <w:vAlign w:val="center"/>
          </w:tcPr>
          <w:p>
            <w:pPr>
              <w:pStyle w:val="7"/>
              <w:bidi w:val="0"/>
              <w:jc w:val="center"/>
            </w:pPr>
            <w:r>
              <w:t>线径2.5mm</w:t>
            </w:r>
            <w:r>
              <w:rPr>
                <w:rFonts w:hint="eastAsia"/>
                <w:lang w:val="en-US" w:eastAsia="zh-CN"/>
              </w:rPr>
              <w:t xml:space="preserve">  </w:t>
            </w:r>
            <w:r>
              <w:t>多股线，长度1m，带夹子</w:t>
            </w:r>
          </w:p>
        </w:tc>
        <w:tc>
          <w:tcPr>
            <w:tcW w:w="849" w:type="dxa"/>
            <w:vAlign w:val="center"/>
          </w:tcPr>
          <w:p>
            <w:pPr>
              <w:pStyle w:val="7"/>
              <w:bidi w:val="0"/>
              <w:jc w:val="center"/>
            </w:pPr>
            <w:r>
              <w:t>副</w:t>
            </w:r>
          </w:p>
        </w:tc>
        <w:tc>
          <w:tcPr>
            <w:tcW w:w="850" w:type="dxa"/>
            <w:vAlign w:val="center"/>
          </w:tcPr>
          <w:p>
            <w:pPr>
              <w:pStyle w:val="7"/>
              <w:bidi w:val="0"/>
              <w:jc w:val="center"/>
            </w:pPr>
            <w:r>
              <w:t>16</w:t>
            </w:r>
          </w:p>
        </w:tc>
        <w:tc>
          <w:tcPr>
            <w:tcW w:w="1101" w:type="dxa"/>
            <w:vAlign w:val="center"/>
          </w:tcPr>
          <w:p>
            <w:pPr>
              <w:pStyle w:val="7"/>
              <w:bidi w:val="0"/>
              <w:jc w:val="center"/>
            </w:pPr>
          </w:p>
        </w:tc>
      </w:tr>
      <w:tr>
        <w:tblPrEx>
          <w:tblCellMar>
            <w:top w:w="0" w:type="dxa"/>
            <w:left w:w="0" w:type="dxa"/>
            <w:bottom w:w="0" w:type="dxa"/>
            <w:right w:w="0" w:type="dxa"/>
          </w:tblCellMar>
        </w:tblPrEx>
        <w:trPr>
          <w:trHeight w:val="629"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T 型线 2</w:t>
            </w:r>
          </w:p>
        </w:tc>
        <w:tc>
          <w:tcPr>
            <w:tcW w:w="2394" w:type="dxa"/>
            <w:vAlign w:val="center"/>
          </w:tcPr>
          <w:p>
            <w:pPr>
              <w:pStyle w:val="7"/>
              <w:bidi w:val="0"/>
              <w:jc w:val="center"/>
            </w:pPr>
            <w:r>
              <w:t>带公、母插头，鲤鱼夹</w:t>
            </w:r>
          </w:p>
        </w:tc>
        <w:tc>
          <w:tcPr>
            <w:tcW w:w="849" w:type="dxa"/>
            <w:vAlign w:val="center"/>
          </w:tcPr>
          <w:p>
            <w:pPr>
              <w:pStyle w:val="7"/>
              <w:bidi w:val="0"/>
              <w:jc w:val="center"/>
            </w:pPr>
            <w:r>
              <w:t>副</w:t>
            </w:r>
          </w:p>
        </w:tc>
        <w:tc>
          <w:tcPr>
            <w:tcW w:w="850" w:type="dxa"/>
            <w:vAlign w:val="center"/>
          </w:tcPr>
          <w:p>
            <w:pPr>
              <w:pStyle w:val="7"/>
              <w:bidi w:val="0"/>
              <w:jc w:val="center"/>
            </w:pPr>
            <w:r>
              <w:t>16</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tcPr>
          <w:p>
            <w:pPr>
              <w:pStyle w:val="7"/>
              <w:bidi w:val="0"/>
            </w:pPr>
            <w:r>
              <w:t>维修躺板</w:t>
            </w:r>
          </w:p>
        </w:tc>
        <w:tc>
          <w:tcPr>
            <w:tcW w:w="2394" w:type="dxa"/>
          </w:tcPr>
          <w:p>
            <w:pPr>
              <w:pStyle w:val="7"/>
              <w:bidi w:val="0"/>
            </w:pPr>
          </w:p>
        </w:tc>
        <w:tc>
          <w:tcPr>
            <w:tcW w:w="849" w:type="dxa"/>
          </w:tcPr>
          <w:p>
            <w:pPr>
              <w:pStyle w:val="7"/>
              <w:bidi w:val="0"/>
            </w:pPr>
            <w:r>
              <w:t>台</w:t>
            </w:r>
          </w:p>
        </w:tc>
        <w:tc>
          <w:tcPr>
            <w:tcW w:w="850" w:type="dxa"/>
          </w:tcPr>
          <w:p>
            <w:pPr>
              <w:pStyle w:val="7"/>
              <w:bidi w:val="0"/>
            </w:pPr>
            <w:r>
              <w:t>16</w:t>
            </w:r>
          </w:p>
        </w:tc>
        <w:tc>
          <w:tcPr>
            <w:tcW w:w="1101" w:type="dxa"/>
          </w:tcPr>
          <w:p>
            <w:pPr>
              <w:pStyle w:val="7"/>
              <w:bidi w:val="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9"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LED强光铝合金手电筒</w:t>
            </w:r>
          </w:p>
        </w:tc>
        <w:tc>
          <w:tcPr>
            <w:tcW w:w="2394" w:type="dxa"/>
            <w:vAlign w:val="center"/>
          </w:tcPr>
          <w:p>
            <w:pPr>
              <w:pStyle w:val="7"/>
              <w:bidi w:val="0"/>
              <w:jc w:val="center"/>
            </w:pPr>
          </w:p>
        </w:tc>
        <w:tc>
          <w:tcPr>
            <w:tcW w:w="849" w:type="dxa"/>
            <w:vAlign w:val="center"/>
          </w:tcPr>
          <w:p>
            <w:pPr>
              <w:pStyle w:val="7"/>
              <w:bidi w:val="0"/>
              <w:jc w:val="center"/>
            </w:pPr>
            <w:r>
              <w:t>只</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活动扳手</w:t>
            </w:r>
          </w:p>
        </w:tc>
        <w:tc>
          <w:tcPr>
            <w:tcW w:w="2394" w:type="dxa"/>
            <w:vAlign w:val="center"/>
          </w:tcPr>
          <w:p>
            <w:pPr>
              <w:pStyle w:val="7"/>
              <w:bidi w:val="0"/>
              <w:jc w:val="center"/>
            </w:pPr>
            <w:r>
              <w:t>10"</w:t>
            </w:r>
          </w:p>
        </w:tc>
        <w:tc>
          <w:tcPr>
            <w:tcW w:w="849" w:type="dxa"/>
            <w:vAlign w:val="center"/>
          </w:tcPr>
          <w:p>
            <w:pPr>
              <w:pStyle w:val="7"/>
              <w:bidi w:val="0"/>
              <w:jc w:val="center"/>
            </w:pPr>
            <w:r>
              <w:t>只</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活动扳手</w:t>
            </w:r>
          </w:p>
        </w:tc>
        <w:tc>
          <w:tcPr>
            <w:tcW w:w="2394" w:type="dxa"/>
            <w:vAlign w:val="center"/>
          </w:tcPr>
          <w:p>
            <w:pPr>
              <w:pStyle w:val="7"/>
              <w:bidi w:val="0"/>
              <w:jc w:val="center"/>
            </w:pPr>
            <w:r>
              <w:t>18"</w:t>
            </w:r>
          </w:p>
        </w:tc>
        <w:tc>
          <w:tcPr>
            <w:tcW w:w="849" w:type="dxa"/>
            <w:vAlign w:val="center"/>
          </w:tcPr>
          <w:p>
            <w:pPr>
              <w:pStyle w:val="7"/>
              <w:bidi w:val="0"/>
              <w:jc w:val="center"/>
            </w:pPr>
            <w:r>
              <w:t>只</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CellMar>
            <w:top w:w="0" w:type="dxa"/>
            <w:left w:w="0" w:type="dxa"/>
            <w:bottom w:w="0" w:type="dxa"/>
            <w:right w:w="0" w:type="dxa"/>
          </w:tblCellMar>
        </w:tblPrEx>
        <w:trPr>
          <w:trHeight w:val="317" w:hRule="atLeast"/>
        </w:trPr>
        <w:tc>
          <w:tcPr>
            <w:tcW w:w="880" w:type="dxa"/>
            <w:vMerge w:val="restart"/>
            <w:tcBorders>
              <w:bottom w:val="nil"/>
            </w:tcBorders>
            <w:vAlign w:val="center"/>
          </w:tcPr>
          <w:p>
            <w:pPr>
              <w:pStyle w:val="7"/>
              <w:numPr>
                <w:ilvl w:val="0"/>
                <w:numId w:val="1"/>
              </w:numPr>
              <w:bidi w:val="0"/>
              <w:ind w:left="0" w:leftChars="0" w:firstLine="0" w:firstLineChars="0"/>
              <w:jc w:val="center"/>
            </w:pPr>
          </w:p>
        </w:tc>
        <w:tc>
          <w:tcPr>
            <w:tcW w:w="2485" w:type="dxa"/>
            <w:vMerge w:val="restart"/>
            <w:tcBorders>
              <w:bottom w:val="nil"/>
            </w:tcBorders>
            <w:vAlign w:val="center"/>
          </w:tcPr>
          <w:p>
            <w:pPr>
              <w:pStyle w:val="7"/>
              <w:bidi w:val="0"/>
              <w:jc w:val="center"/>
            </w:pPr>
            <w:r>
              <w:t>千分尺</w:t>
            </w:r>
          </w:p>
        </w:tc>
        <w:tc>
          <w:tcPr>
            <w:tcW w:w="2394" w:type="dxa"/>
            <w:vAlign w:val="center"/>
          </w:tcPr>
          <w:p>
            <w:pPr>
              <w:pStyle w:val="7"/>
              <w:bidi w:val="0"/>
              <w:jc w:val="center"/>
            </w:pPr>
            <w:r>
              <w:t>25</w:t>
            </w:r>
            <w:r>
              <w:rPr>
                <w:rFonts w:hint="eastAsia"/>
                <w:lang w:eastAsia="zh-CN"/>
              </w:rPr>
              <w:t>—</w:t>
            </w:r>
            <w:r>
              <w:t>50mm</w:t>
            </w:r>
          </w:p>
        </w:tc>
        <w:tc>
          <w:tcPr>
            <w:tcW w:w="849" w:type="dxa"/>
            <w:vAlign w:val="center"/>
          </w:tcPr>
          <w:p>
            <w:pPr>
              <w:pStyle w:val="7"/>
              <w:bidi w:val="0"/>
              <w:jc w:val="center"/>
            </w:pPr>
            <w:r>
              <w:t>把</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8" w:hRule="atLeast"/>
        </w:trPr>
        <w:tc>
          <w:tcPr>
            <w:tcW w:w="880" w:type="dxa"/>
            <w:vMerge w:val="continue"/>
            <w:tcBorders>
              <w:top w:val="nil"/>
              <w:bottom w:val="nil"/>
            </w:tcBorders>
            <w:vAlign w:val="center"/>
          </w:tcPr>
          <w:p>
            <w:pPr>
              <w:pStyle w:val="7"/>
              <w:bidi w:val="0"/>
              <w:ind w:firstLineChars="0"/>
              <w:jc w:val="center"/>
            </w:pPr>
          </w:p>
        </w:tc>
        <w:tc>
          <w:tcPr>
            <w:tcW w:w="2485" w:type="dxa"/>
            <w:vMerge w:val="continue"/>
            <w:tcBorders>
              <w:top w:val="nil"/>
              <w:bottom w:val="nil"/>
            </w:tcBorders>
            <w:vAlign w:val="center"/>
          </w:tcPr>
          <w:p>
            <w:pPr>
              <w:pStyle w:val="7"/>
              <w:bidi w:val="0"/>
              <w:jc w:val="center"/>
            </w:pPr>
          </w:p>
        </w:tc>
        <w:tc>
          <w:tcPr>
            <w:tcW w:w="2394" w:type="dxa"/>
            <w:vAlign w:val="center"/>
          </w:tcPr>
          <w:p>
            <w:pPr>
              <w:pStyle w:val="7"/>
              <w:bidi w:val="0"/>
              <w:jc w:val="center"/>
            </w:pPr>
            <w:r>
              <w:t>50</w:t>
            </w:r>
            <w:r>
              <w:rPr>
                <w:rFonts w:hint="eastAsia"/>
                <w:lang w:eastAsia="zh-CN"/>
              </w:rPr>
              <w:t>—</w:t>
            </w:r>
            <w:r>
              <w:t>75mm</w:t>
            </w:r>
          </w:p>
        </w:tc>
        <w:tc>
          <w:tcPr>
            <w:tcW w:w="849" w:type="dxa"/>
            <w:vAlign w:val="center"/>
          </w:tcPr>
          <w:p>
            <w:pPr>
              <w:pStyle w:val="7"/>
              <w:bidi w:val="0"/>
              <w:jc w:val="center"/>
            </w:pPr>
            <w:r>
              <w:t>把</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880" w:type="dxa"/>
            <w:vMerge w:val="continue"/>
            <w:tcBorders>
              <w:top w:val="nil"/>
            </w:tcBorders>
            <w:vAlign w:val="center"/>
          </w:tcPr>
          <w:p>
            <w:pPr>
              <w:pStyle w:val="7"/>
              <w:bidi w:val="0"/>
              <w:ind w:firstLineChars="0"/>
              <w:jc w:val="center"/>
            </w:pPr>
          </w:p>
        </w:tc>
        <w:tc>
          <w:tcPr>
            <w:tcW w:w="2485" w:type="dxa"/>
            <w:vMerge w:val="continue"/>
            <w:tcBorders>
              <w:top w:val="nil"/>
            </w:tcBorders>
            <w:vAlign w:val="center"/>
          </w:tcPr>
          <w:p>
            <w:pPr>
              <w:pStyle w:val="7"/>
              <w:bidi w:val="0"/>
              <w:jc w:val="center"/>
            </w:pPr>
          </w:p>
        </w:tc>
        <w:tc>
          <w:tcPr>
            <w:tcW w:w="2394" w:type="dxa"/>
            <w:vAlign w:val="center"/>
          </w:tcPr>
          <w:p>
            <w:pPr>
              <w:pStyle w:val="7"/>
              <w:bidi w:val="0"/>
              <w:jc w:val="center"/>
            </w:pPr>
            <w:r>
              <w:t>75</w:t>
            </w:r>
            <w:r>
              <w:rPr>
                <w:rFonts w:hint="eastAsia"/>
                <w:lang w:eastAsia="zh-CN"/>
              </w:rPr>
              <w:t>—</w:t>
            </w:r>
            <w:r>
              <w:t>100mm</w:t>
            </w:r>
          </w:p>
        </w:tc>
        <w:tc>
          <w:tcPr>
            <w:tcW w:w="849" w:type="dxa"/>
            <w:vAlign w:val="center"/>
          </w:tcPr>
          <w:p>
            <w:pPr>
              <w:pStyle w:val="7"/>
              <w:bidi w:val="0"/>
              <w:jc w:val="center"/>
            </w:pPr>
            <w:r>
              <w:t>把</w:t>
            </w:r>
          </w:p>
        </w:tc>
        <w:tc>
          <w:tcPr>
            <w:tcW w:w="850" w:type="dxa"/>
            <w:vAlign w:val="center"/>
          </w:tcPr>
          <w:p>
            <w:pPr>
              <w:pStyle w:val="7"/>
              <w:bidi w:val="0"/>
              <w:jc w:val="center"/>
            </w:pPr>
            <w:r>
              <w:rPr>
                <w:rFonts w:hint="eastAsia"/>
              </w:rPr>
              <w:t>20</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电瓶线</w:t>
            </w:r>
          </w:p>
        </w:tc>
        <w:tc>
          <w:tcPr>
            <w:tcW w:w="2394" w:type="dxa"/>
            <w:vAlign w:val="center"/>
          </w:tcPr>
          <w:p>
            <w:pPr>
              <w:pStyle w:val="7"/>
              <w:bidi w:val="0"/>
              <w:jc w:val="center"/>
            </w:pPr>
            <w:r>
              <w:t>长度2m</w:t>
            </w:r>
            <w:r>
              <w:rPr>
                <w:rFonts w:hint="eastAsia"/>
                <w:lang w:eastAsia="zh-CN"/>
              </w:rPr>
              <w:t>，</w:t>
            </w:r>
            <w:r>
              <w:t>两边带夹子</w:t>
            </w:r>
          </w:p>
        </w:tc>
        <w:tc>
          <w:tcPr>
            <w:tcW w:w="849" w:type="dxa"/>
            <w:vAlign w:val="center"/>
          </w:tcPr>
          <w:p>
            <w:pPr>
              <w:pStyle w:val="7"/>
              <w:bidi w:val="0"/>
              <w:jc w:val="center"/>
            </w:pPr>
            <w:r>
              <w:t>根</w:t>
            </w:r>
          </w:p>
        </w:tc>
        <w:tc>
          <w:tcPr>
            <w:tcW w:w="850" w:type="dxa"/>
            <w:vAlign w:val="center"/>
          </w:tcPr>
          <w:p>
            <w:pPr>
              <w:pStyle w:val="7"/>
              <w:bidi w:val="0"/>
              <w:jc w:val="center"/>
            </w:pPr>
            <w:r>
              <w:t>16</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铅锤</w:t>
            </w:r>
          </w:p>
        </w:tc>
        <w:tc>
          <w:tcPr>
            <w:tcW w:w="2394" w:type="dxa"/>
            <w:vAlign w:val="center"/>
          </w:tcPr>
          <w:p>
            <w:pPr>
              <w:pStyle w:val="7"/>
              <w:bidi w:val="0"/>
              <w:jc w:val="center"/>
            </w:pPr>
          </w:p>
        </w:tc>
        <w:tc>
          <w:tcPr>
            <w:tcW w:w="849" w:type="dxa"/>
            <w:vAlign w:val="center"/>
          </w:tcPr>
          <w:p>
            <w:pPr>
              <w:pStyle w:val="7"/>
              <w:bidi w:val="0"/>
              <w:jc w:val="center"/>
            </w:pPr>
            <w:r>
              <w:t>个</w:t>
            </w:r>
          </w:p>
        </w:tc>
        <w:tc>
          <w:tcPr>
            <w:tcW w:w="850" w:type="dxa"/>
            <w:vAlign w:val="center"/>
          </w:tcPr>
          <w:p>
            <w:pPr>
              <w:pStyle w:val="7"/>
              <w:bidi w:val="0"/>
              <w:jc w:val="center"/>
            </w:pPr>
            <w:r>
              <w:t>16</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圆头锤</w:t>
            </w:r>
          </w:p>
        </w:tc>
        <w:tc>
          <w:tcPr>
            <w:tcW w:w="2394" w:type="dxa"/>
            <w:vAlign w:val="center"/>
          </w:tcPr>
          <w:p>
            <w:pPr>
              <w:pStyle w:val="7"/>
              <w:bidi w:val="0"/>
              <w:jc w:val="center"/>
            </w:pPr>
          </w:p>
        </w:tc>
        <w:tc>
          <w:tcPr>
            <w:tcW w:w="849" w:type="dxa"/>
            <w:vAlign w:val="center"/>
          </w:tcPr>
          <w:p>
            <w:pPr>
              <w:pStyle w:val="7"/>
              <w:bidi w:val="0"/>
              <w:jc w:val="center"/>
            </w:pPr>
            <w:r>
              <w:t>把</w:t>
            </w:r>
          </w:p>
        </w:tc>
        <w:tc>
          <w:tcPr>
            <w:tcW w:w="850" w:type="dxa"/>
            <w:vAlign w:val="center"/>
          </w:tcPr>
          <w:p>
            <w:pPr>
              <w:pStyle w:val="7"/>
              <w:bidi w:val="0"/>
              <w:jc w:val="center"/>
            </w:pPr>
            <w:r>
              <w:t>32</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jc w:val="center"/>
            </w:pPr>
            <w:r>
              <w:t>橡胶锤</w:t>
            </w:r>
          </w:p>
        </w:tc>
        <w:tc>
          <w:tcPr>
            <w:tcW w:w="2394" w:type="dxa"/>
            <w:vAlign w:val="center"/>
          </w:tcPr>
          <w:p>
            <w:pPr>
              <w:pStyle w:val="7"/>
              <w:bidi w:val="0"/>
              <w:jc w:val="center"/>
            </w:pPr>
          </w:p>
        </w:tc>
        <w:tc>
          <w:tcPr>
            <w:tcW w:w="849" w:type="dxa"/>
            <w:vAlign w:val="center"/>
          </w:tcPr>
          <w:p>
            <w:pPr>
              <w:pStyle w:val="7"/>
              <w:bidi w:val="0"/>
              <w:jc w:val="center"/>
            </w:pPr>
            <w:r>
              <w:t>把</w:t>
            </w:r>
          </w:p>
        </w:tc>
        <w:tc>
          <w:tcPr>
            <w:tcW w:w="850" w:type="dxa"/>
            <w:vAlign w:val="center"/>
          </w:tcPr>
          <w:p>
            <w:pPr>
              <w:pStyle w:val="7"/>
              <w:bidi w:val="0"/>
              <w:jc w:val="center"/>
            </w:pPr>
            <w:r>
              <w:t>32</w:t>
            </w:r>
          </w:p>
        </w:tc>
        <w:tc>
          <w:tcPr>
            <w:tcW w:w="1101" w:type="dxa"/>
            <w:vAlign w:val="center"/>
          </w:tcPr>
          <w:p>
            <w:pPr>
              <w:pStyle w:val="7"/>
              <w:bidi w:val="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油压千斤顶</w:t>
            </w:r>
            <w:r>
              <w:rPr>
                <w:rFonts w:hint="eastAsia"/>
                <w:lang w:eastAsia="zh-CN"/>
              </w:rPr>
              <w:t>（</w:t>
            </w:r>
            <w:r>
              <w:t>配若干垫木、垫块</w:t>
            </w:r>
            <w:r>
              <w:rPr>
                <w:rFonts w:hint="eastAsia"/>
                <w:lang w:eastAsia="zh-CN"/>
              </w:rPr>
              <w:t>）</w:t>
            </w:r>
          </w:p>
        </w:tc>
        <w:tc>
          <w:tcPr>
            <w:tcW w:w="2394" w:type="dxa"/>
            <w:vAlign w:val="center"/>
          </w:tcPr>
          <w:p>
            <w:pPr>
              <w:pStyle w:val="7"/>
              <w:bidi w:val="0"/>
              <w:ind w:firstLine="0" w:firstLineChars="0"/>
              <w:jc w:val="center"/>
            </w:pPr>
            <w:r>
              <w:t>5吨</w:t>
            </w:r>
          </w:p>
        </w:tc>
        <w:tc>
          <w:tcPr>
            <w:tcW w:w="849" w:type="dxa"/>
            <w:vAlign w:val="center"/>
          </w:tcPr>
          <w:p>
            <w:pPr>
              <w:pStyle w:val="7"/>
              <w:bidi w:val="0"/>
              <w:ind w:firstLine="0" w:firstLineChars="0"/>
              <w:jc w:val="center"/>
            </w:pPr>
            <w:r>
              <w:t>台</w:t>
            </w:r>
          </w:p>
        </w:tc>
        <w:tc>
          <w:tcPr>
            <w:tcW w:w="850" w:type="dxa"/>
            <w:vAlign w:val="center"/>
          </w:tcPr>
          <w:p>
            <w:pPr>
              <w:pStyle w:val="7"/>
              <w:bidi w:val="0"/>
              <w:ind w:firstLine="0" w:firstLineChars="0"/>
              <w:jc w:val="center"/>
            </w:pPr>
            <w:r>
              <w:rPr>
                <w:rFonts w:hint="eastAsia"/>
              </w:rPr>
              <w:t>20</w:t>
            </w:r>
            <w:r>
              <w:t>台</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三角木</w:t>
            </w:r>
          </w:p>
        </w:tc>
        <w:tc>
          <w:tcPr>
            <w:tcW w:w="2394" w:type="dxa"/>
            <w:vAlign w:val="center"/>
          </w:tcPr>
          <w:p>
            <w:pPr>
              <w:pStyle w:val="7"/>
              <w:bidi w:val="0"/>
              <w:jc w:val="center"/>
            </w:pPr>
            <w:r>
              <w:t>长*宽*高：</w:t>
            </w:r>
          </w:p>
          <w:p>
            <w:pPr>
              <w:pStyle w:val="7"/>
              <w:bidi w:val="0"/>
              <w:ind w:firstLine="0" w:firstLineChars="0"/>
              <w:jc w:val="center"/>
            </w:pPr>
            <w:r>
              <w:t>(260</w:t>
            </w:r>
            <w:r>
              <w:rPr>
                <w:rFonts w:hint="eastAsia"/>
                <w:lang w:eastAsia="zh-CN"/>
              </w:rPr>
              <w:t>—</w:t>
            </w:r>
            <w:r>
              <w:t>300mm)*(10-16 0mm)*180</w:t>
            </w:r>
            <w:r>
              <w:rPr>
                <w:rFonts w:hint="eastAsia"/>
                <w:lang w:eastAsia="zh-CN"/>
              </w:rPr>
              <w:t>—</w:t>
            </w:r>
            <w:r>
              <w:t>200mm)</w:t>
            </w: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4*32</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top"/>
          </w:tcPr>
          <w:p>
            <w:pPr>
              <w:pStyle w:val="7"/>
              <w:bidi w:val="0"/>
              <w:ind w:firstLine="0" w:firstLineChars="0"/>
            </w:pPr>
            <w:r>
              <w:t>一字起</w:t>
            </w:r>
          </w:p>
        </w:tc>
        <w:tc>
          <w:tcPr>
            <w:tcW w:w="2394" w:type="dxa"/>
            <w:vAlign w:val="top"/>
          </w:tcPr>
          <w:p>
            <w:pPr>
              <w:pStyle w:val="7"/>
              <w:bidi w:val="0"/>
              <w:ind w:firstLine="0" w:firstLineChars="0"/>
            </w:pPr>
            <w:r>
              <w:t>100mm、150mm、200mm、300mm</w:t>
            </w:r>
          </w:p>
        </w:tc>
        <w:tc>
          <w:tcPr>
            <w:tcW w:w="849" w:type="dxa"/>
            <w:vAlign w:val="center"/>
          </w:tcPr>
          <w:p>
            <w:pPr>
              <w:pStyle w:val="7"/>
              <w:bidi w:val="0"/>
              <w:ind w:firstLine="0" w:firstLineChars="0"/>
            </w:pPr>
            <w:r>
              <w:t>把</w:t>
            </w:r>
          </w:p>
        </w:tc>
        <w:tc>
          <w:tcPr>
            <w:tcW w:w="850" w:type="dxa"/>
            <w:vAlign w:val="top"/>
          </w:tcPr>
          <w:p>
            <w:pPr>
              <w:pStyle w:val="7"/>
              <w:bidi w:val="0"/>
              <w:ind w:firstLine="0" w:firstLineChars="0"/>
              <w:rPr>
                <w:rFonts w:hint="eastAsia"/>
              </w:rPr>
            </w:pPr>
            <w:r>
              <w:t>32</w:t>
            </w:r>
          </w:p>
        </w:tc>
        <w:tc>
          <w:tcPr>
            <w:tcW w:w="1101" w:type="dxa"/>
            <w:vAlign w:val="top"/>
          </w:tcPr>
          <w:p>
            <w:pPr>
              <w:pStyle w:val="7"/>
              <w:bidi w:val="0"/>
              <w:ind w:firstLine="0" w:firstLineChars="0"/>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十字起</w:t>
            </w:r>
          </w:p>
        </w:tc>
        <w:tc>
          <w:tcPr>
            <w:tcW w:w="2394" w:type="dxa"/>
            <w:vAlign w:val="center"/>
          </w:tcPr>
          <w:p>
            <w:pPr>
              <w:pStyle w:val="7"/>
              <w:bidi w:val="0"/>
              <w:ind w:firstLine="0" w:firstLineChars="0"/>
              <w:jc w:val="center"/>
            </w:pPr>
            <w:r>
              <w:t>100mm、150mm、200mm、 300mm</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塞尺</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卷尺</w:t>
            </w:r>
          </w:p>
        </w:tc>
        <w:tc>
          <w:tcPr>
            <w:tcW w:w="2394" w:type="dxa"/>
            <w:vAlign w:val="center"/>
          </w:tcPr>
          <w:p>
            <w:pPr>
              <w:pStyle w:val="7"/>
              <w:bidi w:val="0"/>
              <w:ind w:firstLine="0" w:firstLineChars="0"/>
              <w:jc w:val="center"/>
            </w:pPr>
            <w:r>
              <w:t>长度 5m</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轮胎气压表</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撬棒</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根</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铜棒</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根</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防护眼镜</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副</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安全帽</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Merge w:val="restart"/>
            <w:vAlign w:val="center"/>
          </w:tcPr>
          <w:p>
            <w:pPr>
              <w:pStyle w:val="7"/>
              <w:bidi w:val="0"/>
              <w:ind w:firstLine="0" w:firstLineChars="0"/>
              <w:jc w:val="center"/>
            </w:pPr>
            <w:r>
              <w:t>钢直尺</w:t>
            </w:r>
          </w:p>
        </w:tc>
        <w:tc>
          <w:tcPr>
            <w:tcW w:w="2394" w:type="dxa"/>
            <w:vAlign w:val="center"/>
          </w:tcPr>
          <w:p>
            <w:pPr>
              <w:pStyle w:val="7"/>
              <w:bidi w:val="0"/>
              <w:ind w:firstLine="0" w:firstLineChars="0"/>
              <w:jc w:val="center"/>
            </w:pPr>
            <w:r>
              <w:t>150cm</w:t>
            </w:r>
          </w:p>
        </w:tc>
        <w:tc>
          <w:tcPr>
            <w:tcW w:w="849" w:type="dxa"/>
            <w:vAlign w:val="center"/>
          </w:tcPr>
          <w:p>
            <w:pPr>
              <w:pStyle w:val="7"/>
              <w:bidi w:val="0"/>
              <w:ind w:firstLine="0" w:firstLineChars="0"/>
              <w:jc w:val="center"/>
            </w:pPr>
            <w:r>
              <w:t>顶</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Merge w:val="continue"/>
            <w:vAlign w:val="center"/>
          </w:tcPr>
          <w:p>
            <w:pPr>
              <w:pStyle w:val="7"/>
              <w:bidi w:val="0"/>
              <w:ind w:firstLine="0" w:firstLineChars="0"/>
              <w:jc w:val="center"/>
            </w:pPr>
          </w:p>
        </w:tc>
        <w:tc>
          <w:tcPr>
            <w:tcW w:w="2394" w:type="dxa"/>
            <w:vAlign w:val="center"/>
          </w:tcPr>
          <w:p>
            <w:pPr>
              <w:pStyle w:val="7"/>
              <w:bidi w:val="0"/>
              <w:ind w:firstLine="0" w:firstLineChars="0"/>
              <w:jc w:val="center"/>
            </w:pPr>
            <w:r>
              <w:t>300cm</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Merge w:val="restart"/>
            <w:vAlign w:val="center"/>
          </w:tcPr>
          <w:p>
            <w:pPr>
              <w:pStyle w:val="7"/>
              <w:bidi w:val="0"/>
              <w:ind w:firstLine="0" w:firstLineChars="0"/>
              <w:jc w:val="center"/>
            </w:pPr>
            <w:r>
              <w:t>L型水平直角尺</w:t>
            </w:r>
          </w:p>
        </w:tc>
        <w:tc>
          <w:tcPr>
            <w:tcW w:w="2394" w:type="dxa"/>
            <w:vAlign w:val="center"/>
          </w:tcPr>
          <w:p>
            <w:pPr>
              <w:pStyle w:val="7"/>
              <w:bidi w:val="0"/>
              <w:ind w:firstLine="0" w:firstLineChars="0"/>
              <w:jc w:val="center"/>
            </w:pPr>
            <w:r>
              <w:t>长300mm</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Merge w:val="continue"/>
            <w:vAlign w:val="center"/>
          </w:tcPr>
          <w:p>
            <w:pPr>
              <w:pStyle w:val="7"/>
              <w:bidi w:val="0"/>
              <w:ind w:firstLine="0" w:firstLineChars="0"/>
              <w:jc w:val="center"/>
            </w:pPr>
          </w:p>
        </w:tc>
        <w:tc>
          <w:tcPr>
            <w:tcW w:w="2394" w:type="dxa"/>
            <w:vAlign w:val="center"/>
          </w:tcPr>
          <w:p>
            <w:pPr>
              <w:pStyle w:val="7"/>
              <w:bidi w:val="0"/>
              <w:ind w:firstLine="0" w:firstLineChars="0"/>
              <w:jc w:val="center"/>
            </w:pPr>
            <w:r>
              <w:t>长600mm，配150mm游标卡尺</w:t>
            </w:r>
          </w:p>
        </w:tc>
        <w:tc>
          <w:tcPr>
            <w:tcW w:w="849" w:type="dxa"/>
            <w:vAlign w:val="center"/>
          </w:tcPr>
          <w:p>
            <w:pPr>
              <w:pStyle w:val="7"/>
              <w:bidi w:val="0"/>
              <w:ind w:firstLine="0" w:firstLineChars="0"/>
              <w:jc w:val="center"/>
            </w:pPr>
            <w:r>
              <w:t>副</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油盆</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个</w:t>
            </w:r>
          </w:p>
        </w:tc>
        <w:tc>
          <w:tcPr>
            <w:tcW w:w="850" w:type="dxa"/>
            <w:vAlign w:val="center"/>
          </w:tcPr>
          <w:p>
            <w:pPr>
              <w:pStyle w:val="7"/>
              <w:bidi w:val="0"/>
              <w:ind w:firstLine="0" w:firstLineChars="0"/>
              <w:jc w:val="center"/>
              <w:rPr>
                <w:rFonts w:hint="eastAsia"/>
              </w:rPr>
            </w:pPr>
            <w: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周转箱</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个</w:t>
            </w:r>
          </w:p>
        </w:tc>
        <w:tc>
          <w:tcPr>
            <w:tcW w:w="850" w:type="dxa"/>
            <w:vAlign w:val="center"/>
          </w:tcPr>
          <w:p>
            <w:pPr>
              <w:pStyle w:val="7"/>
              <w:bidi w:val="0"/>
              <w:ind w:firstLine="0" w:firstLineChars="0"/>
              <w:jc w:val="center"/>
              <w:rPr>
                <w:rFonts w:hint="eastAsia"/>
              </w:rPr>
            </w:pPr>
            <w:r>
              <w:t>30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尖嘴钳</w:t>
            </w:r>
          </w:p>
        </w:tc>
        <w:tc>
          <w:tcPr>
            <w:tcW w:w="2394" w:type="dxa"/>
            <w:vAlign w:val="center"/>
          </w:tcPr>
          <w:p>
            <w:pPr>
              <w:pStyle w:val="7"/>
              <w:bidi w:val="0"/>
              <w:ind w:firstLine="0" w:firstLineChars="0"/>
              <w:jc w:val="center"/>
            </w:pPr>
            <w:r>
              <w:t>6"</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剥线钳</w:t>
            </w:r>
          </w:p>
        </w:tc>
        <w:tc>
          <w:tcPr>
            <w:tcW w:w="2394" w:type="dxa"/>
            <w:vAlign w:val="center"/>
          </w:tcPr>
          <w:p>
            <w:pPr>
              <w:pStyle w:val="7"/>
              <w:bidi w:val="0"/>
              <w:ind w:firstLine="0" w:firstLineChars="0"/>
              <w:jc w:val="center"/>
            </w:pPr>
            <w:r>
              <w:t>6”</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钢丝钳</w:t>
            </w:r>
          </w:p>
        </w:tc>
        <w:tc>
          <w:tcPr>
            <w:tcW w:w="2394" w:type="dxa"/>
            <w:vAlign w:val="center"/>
          </w:tcPr>
          <w:p>
            <w:pPr>
              <w:pStyle w:val="7"/>
              <w:bidi w:val="0"/>
              <w:ind w:firstLine="0" w:firstLineChars="0"/>
              <w:jc w:val="center"/>
            </w:pPr>
            <w:r>
              <w:t>6"</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鲤鱼钳</w:t>
            </w:r>
          </w:p>
        </w:tc>
        <w:tc>
          <w:tcPr>
            <w:tcW w:w="2394" w:type="dxa"/>
            <w:vAlign w:val="center"/>
          </w:tcPr>
          <w:p>
            <w:pPr>
              <w:pStyle w:val="7"/>
              <w:bidi w:val="0"/>
              <w:ind w:firstLine="0" w:firstLineChars="0"/>
              <w:jc w:val="center"/>
            </w:pPr>
            <w:r>
              <w:t>6"</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管子钳</w:t>
            </w:r>
          </w:p>
        </w:tc>
        <w:tc>
          <w:tcPr>
            <w:tcW w:w="2394" w:type="dxa"/>
            <w:vAlign w:val="center"/>
          </w:tcPr>
          <w:p>
            <w:pPr>
              <w:pStyle w:val="7"/>
              <w:bidi w:val="0"/>
              <w:ind w:firstLine="0" w:firstLineChars="0"/>
              <w:jc w:val="center"/>
            </w:pPr>
            <w:r>
              <w:t>6"</w:t>
            </w:r>
          </w:p>
        </w:tc>
        <w:tc>
          <w:tcPr>
            <w:tcW w:w="849" w:type="dxa"/>
            <w:vAlign w:val="center"/>
          </w:tcPr>
          <w:p>
            <w:pPr>
              <w:pStyle w:val="7"/>
              <w:bidi w:val="0"/>
              <w:ind w:firstLine="0" w:firstLineChars="0"/>
              <w:jc w:val="center"/>
            </w:pPr>
            <w:r>
              <w:t>把</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全抛光铬钒钢两用扳手</w:t>
            </w:r>
          </w:p>
        </w:tc>
        <w:tc>
          <w:tcPr>
            <w:tcW w:w="2394" w:type="dxa"/>
            <w:vAlign w:val="center"/>
          </w:tcPr>
          <w:p>
            <w:pPr>
              <w:pStyle w:val="7"/>
              <w:bidi w:val="0"/>
              <w:jc w:val="center"/>
            </w:pPr>
            <w:r>
              <w:t>8mm、10mm、12mm、13mm、14mm、15mm、16mm、17mm、18mm、19mm、21mm、22mm、</w:t>
            </w:r>
          </w:p>
          <w:p>
            <w:pPr>
              <w:pStyle w:val="7"/>
              <w:bidi w:val="0"/>
              <w:ind w:firstLine="0" w:firstLineChars="0"/>
              <w:jc w:val="center"/>
            </w:pPr>
            <w:r>
              <w:t>24mm、27mm、32mm</w:t>
            </w:r>
          </w:p>
        </w:tc>
        <w:tc>
          <w:tcPr>
            <w:tcW w:w="849" w:type="dxa"/>
            <w:vAlign w:val="center"/>
          </w:tcPr>
          <w:p>
            <w:pPr>
              <w:pStyle w:val="7"/>
              <w:bidi w:val="0"/>
              <w:ind w:firstLine="0" w:firstLineChars="0"/>
              <w:jc w:val="center"/>
            </w:pPr>
            <w:r>
              <w:t>组</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笔</w:t>
            </w:r>
            <w:r>
              <w:rPr>
                <w:rFonts w:hint="eastAsia"/>
                <w:lang w:eastAsia="zh-CN"/>
              </w:rPr>
              <w:t>（</w:t>
            </w:r>
            <w:r>
              <w:t>石笔、铅笔、记号笔、签字笔、粉笔</w:t>
            </w:r>
            <w:r>
              <w:rPr>
                <w:rFonts w:hint="eastAsia"/>
                <w:lang w:eastAsia="zh-CN"/>
              </w:rPr>
              <w:t>）</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各</w:t>
            </w: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多缸柴油机</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台</w:t>
            </w:r>
          </w:p>
        </w:tc>
        <w:tc>
          <w:tcPr>
            <w:tcW w:w="850" w:type="dxa"/>
            <w:vAlign w:val="center"/>
          </w:tcPr>
          <w:p>
            <w:pPr>
              <w:pStyle w:val="7"/>
              <w:bidi w:val="0"/>
              <w:ind w:firstLine="0" w:firstLineChars="0"/>
              <w:jc w:val="center"/>
              <w:rPr>
                <w:rFonts w:hint="eastAsia"/>
              </w:rPr>
            </w:pPr>
            <w:r>
              <w:t>22</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气缸盖垫片</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片</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气门室罩垫片</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片</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工作台</w:t>
            </w:r>
          </w:p>
        </w:tc>
        <w:tc>
          <w:tcPr>
            <w:tcW w:w="2394" w:type="dxa"/>
            <w:vAlign w:val="center"/>
          </w:tcPr>
          <w:p>
            <w:pPr>
              <w:pStyle w:val="7"/>
              <w:bidi w:val="0"/>
              <w:ind w:firstLine="0" w:firstLineChars="0"/>
              <w:jc w:val="center"/>
            </w:pPr>
            <w:r>
              <w:t>1450mm*1000mm*800mm</w:t>
            </w:r>
          </w:p>
        </w:tc>
        <w:tc>
          <w:tcPr>
            <w:tcW w:w="849" w:type="dxa"/>
            <w:vAlign w:val="center"/>
          </w:tcPr>
          <w:p>
            <w:pPr>
              <w:pStyle w:val="7"/>
              <w:bidi w:val="0"/>
              <w:ind w:firstLine="0" w:firstLineChars="0"/>
              <w:jc w:val="center"/>
            </w:pPr>
            <w:r>
              <w:t>张</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r>
              <w:t>发动机拆装用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小桌虎钳</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台</w:t>
            </w:r>
          </w:p>
        </w:tc>
        <w:tc>
          <w:tcPr>
            <w:tcW w:w="850" w:type="dxa"/>
            <w:vAlign w:val="center"/>
          </w:tcPr>
          <w:p>
            <w:pPr>
              <w:pStyle w:val="7"/>
              <w:bidi w:val="0"/>
              <w:ind w:firstLine="0" w:firstLineChars="0"/>
              <w:jc w:val="center"/>
              <w:rPr>
                <w:rFonts w:hint="eastAsia"/>
              </w:rPr>
            </w:pPr>
            <w:r>
              <w:rPr>
                <w:rFonts w:hint="eastAsia"/>
              </w:rPr>
              <w:t>20</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联合收割机</w:t>
            </w:r>
          </w:p>
        </w:tc>
        <w:tc>
          <w:tcPr>
            <w:tcW w:w="2394" w:type="dxa"/>
            <w:vAlign w:val="center"/>
          </w:tcPr>
          <w:p>
            <w:pPr>
              <w:pStyle w:val="7"/>
              <w:bidi w:val="0"/>
              <w:ind w:firstLine="0" w:firstLineChars="0"/>
              <w:jc w:val="center"/>
            </w:pPr>
            <w:r>
              <w:rPr>
                <w:rFonts w:hint="eastAsia"/>
              </w:rPr>
              <w:t>雷沃轮式小麦联合收割机</w:t>
            </w:r>
          </w:p>
        </w:tc>
        <w:tc>
          <w:tcPr>
            <w:tcW w:w="849" w:type="dxa"/>
            <w:vAlign w:val="center"/>
          </w:tcPr>
          <w:p>
            <w:pPr>
              <w:pStyle w:val="7"/>
              <w:bidi w:val="0"/>
              <w:ind w:firstLine="0" w:firstLineChars="0"/>
              <w:jc w:val="center"/>
            </w:pPr>
            <w:r>
              <w:t>台</w:t>
            </w:r>
          </w:p>
        </w:tc>
        <w:tc>
          <w:tcPr>
            <w:tcW w:w="850" w:type="dxa"/>
            <w:vAlign w:val="center"/>
          </w:tcPr>
          <w:p>
            <w:pPr>
              <w:pStyle w:val="7"/>
              <w:bidi w:val="0"/>
              <w:ind w:firstLine="0" w:firstLineChars="0"/>
              <w:jc w:val="center"/>
              <w:rPr>
                <w:rFonts w:hint="eastAsia"/>
              </w:rPr>
            </w:pPr>
            <w:r>
              <w:rPr>
                <w:rFonts w:hint="eastAsia"/>
              </w:rPr>
              <w:t>4</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各类总成件</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套</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收割机全车皮带</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套</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动刀片</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片</w:t>
            </w:r>
          </w:p>
        </w:tc>
        <w:tc>
          <w:tcPr>
            <w:tcW w:w="850" w:type="dxa"/>
            <w:vAlign w:val="center"/>
          </w:tcPr>
          <w:p>
            <w:pPr>
              <w:pStyle w:val="7"/>
              <w:bidi w:val="0"/>
              <w:ind w:firstLine="0" w:firstLineChars="0"/>
              <w:jc w:val="center"/>
              <w:rPr>
                <w:rFonts w:hint="eastAsia"/>
              </w:rPr>
            </w:pPr>
            <w:r>
              <w:t>3*16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护刃器</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2*16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活动扳手</w:t>
            </w:r>
          </w:p>
        </w:tc>
        <w:tc>
          <w:tcPr>
            <w:tcW w:w="2394" w:type="dxa"/>
            <w:vAlign w:val="center"/>
          </w:tcPr>
          <w:p>
            <w:pPr>
              <w:pStyle w:val="7"/>
              <w:bidi w:val="0"/>
              <w:ind w:firstLine="0" w:firstLineChars="0"/>
              <w:jc w:val="center"/>
            </w:pPr>
            <w:r>
              <w:t>10"</w:t>
            </w: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活动扳手</w:t>
            </w:r>
          </w:p>
        </w:tc>
        <w:tc>
          <w:tcPr>
            <w:tcW w:w="2394" w:type="dxa"/>
            <w:vAlign w:val="center"/>
          </w:tcPr>
          <w:p>
            <w:pPr>
              <w:pStyle w:val="7"/>
              <w:bidi w:val="0"/>
              <w:ind w:firstLine="0" w:firstLineChars="0"/>
              <w:jc w:val="center"/>
            </w:pPr>
            <w:r>
              <w:t>18"</w:t>
            </w: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扁錾、冲子、铁砧</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套</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铆钉</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p>
        </w:tc>
        <w:tc>
          <w:tcPr>
            <w:tcW w:w="850" w:type="dxa"/>
            <w:vAlign w:val="center"/>
          </w:tcPr>
          <w:p>
            <w:pPr>
              <w:pStyle w:val="7"/>
              <w:bidi w:val="0"/>
              <w:ind w:firstLine="0" w:firstLineChars="0"/>
              <w:jc w:val="center"/>
              <w:rPr>
                <w:rFonts w:hint="eastAsia"/>
              </w:rPr>
            </w:pPr>
            <w:r>
              <w:t>若干</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线团</w:t>
            </w:r>
          </w:p>
        </w:tc>
        <w:tc>
          <w:tcPr>
            <w:tcW w:w="2394" w:type="dxa"/>
            <w:vAlign w:val="center"/>
          </w:tcPr>
          <w:p>
            <w:pPr>
              <w:pStyle w:val="7"/>
              <w:bidi w:val="0"/>
              <w:ind w:firstLine="0" w:firstLineChars="0"/>
              <w:jc w:val="center"/>
            </w:pPr>
            <w:r>
              <w:t>线粗约0.5mm，长度大于5m</w:t>
            </w:r>
          </w:p>
        </w:tc>
        <w:tc>
          <w:tcPr>
            <w:tcW w:w="849" w:type="dxa"/>
            <w:vAlign w:val="center"/>
          </w:tcPr>
          <w:p>
            <w:pPr>
              <w:pStyle w:val="7"/>
              <w:bidi w:val="0"/>
              <w:ind w:firstLine="0" w:firstLineChars="0"/>
              <w:jc w:val="center"/>
            </w:pPr>
            <w:r>
              <w:t>卷</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植保无人机</w:t>
            </w:r>
          </w:p>
        </w:tc>
        <w:tc>
          <w:tcPr>
            <w:tcW w:w="2394" w:type="dxa"/>
            <w:vAlign w:val="center"/>
          </w:tcPr>
          <w:p>
            <w:pPr>
              <w:pStyle w:val="7"/>
              <w:bidi w:val="0"/>
              <w:ind w:firstLine="0" w:firstLineChars="0"/>
              <w:jc w:val="center"/>
            </w:pPr>
            <w:r>
              <w:rPr>
                <w:rFonts w:hint="eastAsia"/>
              </w:rPr>
              <w:t>全丰植保无人机</w:t>
            </w:r>
          </w:p>
        </w:tc>
        <w:tc>
          <w:tcPr>
            <w:tcW w:w="849" w:type="dxa"/>
            <w:vAlign w:val="center"/>
          </w:tcPr>
          <w:p>
            <w:pPr>
              <w:pStyle w:val="7"/>
              <w:bidi w:val="0"/>
              <w:ind w:firstLine="0" w:firstLineChars="0"/>
              <w:jc w:val="center"/>
            </w:pPr>
            <w:r>
              <w:t>台</w:t>
            </w:r>
          </w:p>
        </w:tc>
        <w:tc>
          <w:tcPr>
            <w:tcW w:w="850" w:type="dxa"/>
            <w:vAlign w:val="center"/>
          </w:tcPr>
          <w:p>
            <w:pPr>
              <w:pStyle w:val="7"/>
              <w:bidi w:val="0"/>
              <w:ind w:firstLine="0" w:firstLineChars="0"/>
              <w:jc w:val="center"/>
              <w:rPr>
                <w:rFonts w:hint="eastAsia"/>
              </w:rPr>
            </w:pPr>
            <w:r>
              <w:rPr>
                <w:rFonts w:hint="eastAsia"/>
              </w:rPr>
              <w:t>5</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配套拆装工具</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套</w:t>
            </w:r>
          </w:p>
        </w:tc>
        <w:tc>
          <w:tcPr>
            <w:tcW w:w="850" w:type="dxa"/>
            <w:vAlign w:val="center"/>
          </w:tcPr>
          <w:p>
            <w:pPr>
              <w:pStyle w:val="7"/>
              <w:bidi w:val="0"/>
              <w:ind w:firstLine="0" w:firstLineChars="0"/>
              <w:jc w:val="center"/>
              <w:rPr>
                <w:rFonts w:hint="eastAsia"/>
              </w:rPr>
            </w:pPr>
            <w:r>
              <w:rPr>
                <w:rFonts w:hint="eastAsia"/>
              </w:rPr>
              <w:t>5</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配套耗材</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p>
        </w:tc>
        <w:tc>
          <w:tcPr>
            <w:tcW w:w="850" w:type="dxa"/>
            <w:vAlign w:val="center"/>
          </w:tcPr>
          <w:p>
            <w:pPr>
              <w:pStyle w:val="7"/>
              <w:bidi w:val="0"/>
              <w:ind w:firstLine="0" w:firstLineChars="0"/>
              <w:jc w:val="center"/>
              <w:rPr>
                <w:rFonts w:hint="eastAsia"/>
              </w:rPr>
            </w:pPr>
            <w:r>
              <w:t>若干</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量杯</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只</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6" w:hRule="atLeast"/>
        </w:trPr>
        <w:tc>
          <w:tcPr>
            <w:tcW w:w="880" w:type="dxa"/>
            <w:vAlign w:val="center"/>
          </w:tcPr>
          <w:p>
            <w:pPr>
              <w:pStyle w:val="7"/>
              <w:numPr>
                <w:ilvl w:val="0"/>
                <w:numId w:val="1"/>
              </w:numPr>
              <w:bidi w:val="0"/>
              <w:ind w:left="0" w:leftChars="0" w:firstLine="0" w:firstLineChars="0"/>
              <w:jc w:val="center"/>
            </w:pPr>
          </w:p>
        </w:tc>
        <w:tc>
          <w:tcPr>
            <w:tcW w:w="2485" w:type="dxa"/>
            <w:vAlign w:val="center"/>
          </w:tcPr>
          <w:p>
            <w:pPr>
              <w:pStyle w:val="7"/>
              <w:bidi w:val="0"/>
              <w:ind w:firstLine="0" w:firstLineChars="0"/>
              <w:jc w:val="center"/>
            </w:pPr>
            <w:r>
              <w:t>农机各类总成件</w:t>
            </w:r>
          </w:p>
        </w:tc>
        <w:tc>
          <w:tcPr>
            <w:tcW w:w="2394" w:type="dxa"/>
            <w:vAlign w:val="center"/>
          </w:tcPr>
          <w:p>
            <w:pPr>
              <w:pStyle w:val="7"/>
              <w:bidi w:val="0"/>
              <w:ind w:firstLine="0" w:firstLineChars="0"/>
              <w:jc w:val="center"/>
            </w:pPr>
          </w:p>
        </w:tc>
        <w:tc>
          <w:tcPr>
            <w:tcW w:w="849" w:type="dxa"/>
            <w:vAlign w:val="center"/>
          </w:tcPr>
          <w:p>
            <w:pPr>
              <w:pStyle w:val="7"/>
              <w:bidi w:val="0"/>
              <w:ind w:firstLine="0" w:firstLineChars="0"/>
              <w:jc w:val="center"/>
            </w:pPr>
            <w:r>
              <w:t>套</w:t>
            </w:r>
          </w:p>
        </w:tc>
        <w:tc>
          <w:tcPr>
            <w:tcW w:w="850" w:type="dxa"/>
            <w:vAlign w:val="center"/>
          </w:tcPr>
          <w:p>
            <w:pPr>
              <w:pStyle w:val="7"/>
              <w:bidi w:val="0"/>
              <w:ind w:firstLine="0" w:firstLineChars="0"/>
              <w:jc w:val="center"/>
              <w:rPr>
                <w:rFonts w:hint="eastAsia"/>
              </w:rPr>
            </w:pPr>
            <w:r>
              <w:t>16</w:t>
            </w:r>
          </w:p>
        </w:tc>
        <w:tc>
          <w:tcPr>
            <w:tcW w:w="1101" w:type="dxa"/>
            <w:vAlign w:val="center"/>
          </w:tcPr>
          <w:p>
            <w:pPr>
              <w:pStyle w:val="7"/>
              <w:bidi w:val="0"/>
              <w:ind w:firstLine="0" w:firstLineChars="0"/>
              <w:jc w:val="center"/>
            </w:pPr>
          </w:p>
        </w:tc>
      </w:tr>
    </w:tbl>
    <w:p>
      <w:pPr>
        <w:spacing w:line="336" w:lineRule="auto"/>
        <w:jc w:val="both"/>
        <w:rPr>
          <w:sz w:val="2"/>
        </w:rPr>
      </w:pPr>
    </w:p>
    <w:p>
      <w:pPr>
        <w:pStyle w:val="4"/>
        <w:bidi w:val="0"/>
      </w:pPr>
      <w:r>
        <w:rPr>
          <w:rFonts w:hint="eastAsia"/>
        </w:rPr>
        <w:t>十、</w:t>
      </w:r>
      <w:r>
        <w:t>成绩评定</w:t>
      </w:r>
    </w:p>
    <w:p>
      <w:pPr>
        <w:bidi w:val="0"/>
      </w:pPr>
      <w:r>
        <w:rPr>
          <w:rFonts w:hint="eastAsia"/>
        </w:rPr>
        <w:t>1.</w:t>
      </w:r>
      <w:r>
        <w:t>评分原则及实施</w:t>
      </w:r>
    </w:p>
    <w:p>
      <w:pPr>
        <w:bidi w:val="0"/>
      </w:pPr>
      <w:r>
        <w:rPr>
          <w:rFonts w:hint="eastAsia"/>
          <w:lang w:eastAsia="zh-CN"/>
        </w:rPr>
        <w:t>（</w:t>
      </w:r>
      <w:r>
        <w:rPr>
          <w:rFonts w:hint="eastAsia"/>
          <w:lang w:val="en-US" w:eastAsia="zh-CN"/>
        </w:rPr>
        <w:t>1</w:t>
      </w:r>
      <w:r>
        <w:rPr>
          <w:rFonts w:hint="eastAsia"/>
          <w:lang w:eastAsia="zh-CN"/>
        </w:rPr>
        <w:t>）</w:t>
      </w:r>
      <w:r>
        <w:t>采用过程评价与结果评价相结合的评价方式。</w:t>
      </w:r>
    </w:p>
    <w:p>
      <w:pPr>
        <w:bidi w:val="0"/>
      </w:pPr>
      <w:r>
        <w:rPr>
          <w:rFonts w:hint="eastAsia"/>
          <w:lang w:eastAsia="zh-CN"/>
        </w:rPr>
        <w:t>（</w:t>
      </w:r>
      <w:r>
        <w:rPr>
          <w:rFonts w:hint="eastAsia"/>
          <w:lang w:val="en-US" w:eastAsia="zh-CN"/>
        </w:rPr>
        <w:t>2</w:t>
      </w:r>
      <w:r>
        <w:rPr>
          <w:rFonts w:hint="eastAsia"/>
          <w:lang w:eastAsia="zh-CN"/>
        </w:rPr>
        <w:t>）</w:t>
      </w:r>
      <w:r>
        <w:t>认真调试各考核工位车辆、仪器设备，保证考核条件一致。</w:t>
      </w:r>
    </w:p>
    <w:p>
      <w:pPr>
        <w:bidi w:val="0"/>
      </w:pPr>
      <w:r>
        <w:rPr>
          <w:rFonts w:hint="eastAsia"/>
          <w:lang w:eastAsia="zh-CN"/>
        </w:rPr>
        <w:t>（</w:t>
      </w:r>
      <w:r>
        <w:rPr>
          <w:rFonts w:hint="eastAsia"/>
          <w:lang w:val="en-US" w:eastAsia="zh-CN"/>
        </w:rPr>
        <w:t>3</w:t>
      </w:r>
      <w:r>
        <w:rPr>
          <w:rFonts w:hint="eastAsia"/>
          <w:lang w:eastAsia="zh-CN"/>
        </w:rPr>
        <w:t>）</w:t>
      </w:r>
      <w:r>
        <w:t>裁判队伍考前封闭竞赛预演培训，借用视频、图片等载体掌握操作过程的评判标准，借用诊断报告样品掌握诊断报告的评判标准，并对裁判的判罚进行分析对比，对不合理的判罚进行纠正，以保证裁判标准一致。</w:t>
      </w:r>
    </w:p>
    <w:p>
      <w:pPr>
        <w:pStyle w:val="5"/>
        <w:keepNext/>
        <w:keepLines/>
        <w:pageBreakBefore/>
        <w:widowControl/>
        <w:kinsoku w:val="0"/>
        <w:wordWrap/>
        <w:overflowPunct/>
        <w:topLinePunct w:val="0"/>
        <w:autoSpaceDE w:val="0"/>
        <w:autoSpaceDN w:val="0"/>
        <w:bidi w:val="0"/>
        <w:adjustRightInd w:val="0"/>
        <w:snapToGrid w:val="0"/>
        <w:textAlignment w:val="baseline"/>
      </w:pPr>
      <w:r>
        <w:rPr>
          <w:rFonts w:hint="eastAsia"/>
        </w:rPr>
        <w:t>（二）</w:t>
      </w:r>
      <w:r>
        <w:t>成绩构成</w:t>
      </w:r>
    </w:p>
    <w:p>
      <w:pPr>
        <w:bidi w:val="0"/>
      </w:pPr>
      <w:r>
        <w:t>四个比赛项目满分均为100分。选手竞赛成绩相同时，完成工作任务所用时间少的名次在前。</w:t>
      </w:r>
    </w:p>
    <w:p>
      <w:pPr>
        <w:pStyle w:val="5"/>
        <w:bidi w:val="0"/>
      </w:pPr>
      <w:r>
        <w:rPr>
          <w:rFonts w:hint="eastAsia"/>
          <w:lang w:eastAsia="zh-CN"/>
        </w:rPr>
        <w:t>（</w:t>
      </w:r>
      <w:r>
        <w:rPr>
          <w:rFonts w:hint="eastAsia"/>
          <w:lang w:val="en-US" w:eastAsia="zh-CN"/>
        </w:rPr>
        <w:t>三</w:t>
      </w:r>
      <w:r>
        <w:rPr>
          <w:rFonts w:hint="eastAsia"/>
          <w:lang w:eastAsia="zh-CN"/>
        </w:rPr>
        <w:t>）</w:t>
      </w:r>
      <w:r>
        <w:t>成绩审核</w:t>
      </w:r>
    </w:p>
    <w:p>
      <w:pPr>
        <w:bidi w:val="0"/>
      </w:pPr>
      <w:r>
        <w:t>为保障成绩评判的准确性，监督仲裁组将对赛项总成绩排名30%的所有参赛选手的成绩进行复核；对其余成绩进行抽检复核，抽检覆盖率不得低于15%。如发现成绩错误以书面方式及时告知裁判长，由裁判长更正成绩并签字确认。复核、抽检错误率超过5%的，裁判组将对所有成绩进行复核。</w:t>
      </w:r>
    </w:p>
    <w:p>
      <w:pPr>
        <w:pStyle w:val="5"/>
        <w:bidi w:val="0"/>
      </w:pPr>
      <w:r>
        <w:rPr>
          <w:rFonts w:hint="eastAsia"/>
          <w:lang w:eastAsia="zh-CN"/>
        </w:rPr>
        <w:t>（</w:t>
      </w:r>
      <w:r>
        <w:rPr>
          <w:rFonts w:hint="eastAsia"/>
          <w:lang w:val="en-US" w:eastAsia="zh-CN"/>
        </w:rPr>
        <w:t>四</w:t>
      </w:r>
      <w:r>
        <w:rPr>
          <w:rFonts w:hint="eastAsia"/>
          <w:lang w:eastAsia="zh-CN"/>
        </w:rPr>
        <w:t>）</w:t>
      </w:r>
      <w:r>
        <w:t>成绩公布</w:t>
      </w:r>
    </w:p>
    <w:p>
      <w:pPr>
        <w:bidi w:val="0"/>
      </w:pPr>
      <w:r>
        <w:t>选手成绩经复核无误，由裁判长、监督仲裁人员签字确认后公布。</w:t>
      </w:r>
    </w:p>
    <w:p>
      <w:pPr>
        <w:pStyle w:val="4"/>
        <w:bidi w:val="0"/>
        <w:rPr>
          <w:rFonts w:hint="eastAsia"/>
        </w:rPr>
      </w:pPr>
      <w:r>
        <w:rPr>
          <w:rFonts w:hint="eastAsia"/>
          <w:lang w:eastAsia="zh-CN"/>
        </w:rPr>
        <w:t>十一、</w:t>
      </w:r>
      <w:r>
        <w:rPr>
          <w:rFonts w:hint="eastAsia"/>
        </w:rPr>
        <w:t>奖项设定</w:t>
      </w:r>
    </w:p>
    <w:p>
      <w:pPr>
        <w:bidi w:val="0"/>
      </w:pPr>
      <w:r>
        <w:t>本赛项设一、二、三等奖。以实际参赛队总数为基数，一、</w:t>
      </w:r>
      <w:r>
        <w:rPr>
          <w:spacing w:val="1"/>
          <w:w w:val="95"/>
          <w:kern w:val="0"/>
          <w:fitText w:val="8718" w:id="761229184"/>
        </w:rPr>
        <w:t>二、三等奖获奖比例分别为1</w:t>
      </w:r>
      <w:r>
        <w:rPr>
          <w:rFonts w:hint="eastAsia"/>
          <w:spacing w:val="1"/>
          <w:w w:val="95"/>
          <w:kern w:val="0"/>
          <w:fitText w:val="8718" w:id="761229184"/>
          <w:lang w:val="en-US" w:eastAsia="zh-CN"/>
        </w:rPr>
        <w:t>5</w:t>
      </w:r>
      <w:r>
        <w:rPr>
          <w:spacing w:val="1"/>
          <w:w w:val="95"/>
          <w:kern w:val="0"/>
          <w:fitText w:val="8718" w:id="761229184"/>
        </w:rPr>
        <w:t>%、2</w:t>
      </w:r>
      <w:r>
        <w:rPr>
          <w:rFonts w:hint="eastAsia"/>
          <w:spacing w:val="1"/>
          <w:w w:val="95"/>
          <w:kern w:val="0"/>
          <w:fitText w:val="8718" w:id="761229184"/>
          <w:lang w:val="en-US" w:eastAsia="zh-CN"/>
        </w:rPr>
        <w:t>5</w:t>
      </w:r>
      <w:r>
        <w:rPr>
          <w:spacing w:val="1"/>
          <w:w w:val="95"/>
          <w:kern w:val="0"/>
          <w:fitText w:val="8718" w:id="761229184"/>
        </w:rPr>
        <w:t>%、3</w:t>
      </w:r>
      <w:r>
        <w:rPr>
          <w:rFonts w:hint="eastAsia"/>
          <w:spacing w:val="1"/>
          <w:w w:val="95"/>
          <w:kern w:val="0"/>
          <w:fitText w:val="8718" w:id="761229184"/>
          <w:lang w:val="en-US" w:eastAsia="zh-CN"/>
        </w:rPr>
        <w:t>5</w:t>
      </w:r>
      <w:r>
        <w:rPr>
          <w:spacing w:val="1"/>
          <w:w w:val="95"/>
          <w:kern w:val="0"/>
          <w:fitText w:val="8718" w:id="761229184"/>
        </w:rPr>
        <w:t>%</w:t>
      </w:r>
      <w:r>
        <w:rPr>
          <w:rFonts w:hint="eastAsia"/>
          <w:spacing w:val="1"/>
          <w:w w:val="95"/>
          <w:kern w:val="0"/>
          <w:fitText w:val="8718" w:id="761229184"/>
          <w:lang w:eastAsia="zh-CN"/>
        </w:rPr>
        <w:t>（</w:t>
      </w:r>
      <w:r>
        <w:rPr>
          <w:spacing w:val="1"/>
          <w:w w:val="95"/>
          <w:kern w:val="0"/>
          <w:fitText w:val="8718" w:id="761229184"/>
        </w:rPr>
        <w:t>小数点后四舍五入</w:t>
      </w:r>
      <w:r>
        <w:rPr>
          <w:rFonts w:hint="eastAsia"/>
          <w:spacing w:val="51"/>
          <w:w w:val="95"/>
          <w:kern w:val="0"/>
          <w:fitText w:val="8718" w:id="761229184"/>
          <w:lang w:eastAsia="zh-CN"/>
        </w:rPr>
        <w:t>）</w:t>
      </w:r>
      <w:r>
        <w:t>。</w:t>
      </w:r>
    </w:p>
    <w:p>
      <w:pPr>
        <w:pStyle w:val="4"/>
        <w:bidi w:val="0"/>
        <w:rPr>
          <w:rFonts w:hint="eastAsia"/>
        </w:rPr>
      </w:pPr>
      <w:r>
        <w:rPr>
          <w:rFonts w:hint="eastAsia"/>
        </w:rPr>
        <w:t>十</w:t>
      </w:r>
      <w:r>
        <w:rPr>
          <w:rFonts w:hint="eastAsia"/>
          <w:lang w:eastAsia="zh-CN"/>
        </w:rPr>
        <w:t>二</w:t>
      </w:r>
      <w:r>
        <w:rPr>
          <w:rFonts w:hint="eastAsia"/>
        </w:rPr>
        <w:t>、赛场预案</w:t>
      </w:r>
    </w:p>
    <w:p>
      <w:pPr>
        <w:pStyle w:val="5"/>
        <w:bidi w:val="0"/>
      </w:pPr>
      <w:r>
        <w:rPr>
          <w:rFonts w:hint="eastAsia"/>
        </w:rPr>
        <w:t>（一）</w:t>
      </w:r>
      <w:r>
        <w:t>竞赛设备移动应急预案</w:t>
      </w:r>
    </w:p>
    <w:p>
      <w:pPr>
        <w:bidi w:val="0"/>
      </w:pPr>
      <w:r>
        <w:t>竞赛中由于选手误操作，造成拖拉机或联合收割机移动、植保无人机飞行的状况</w:t>
      </w:r>
      <w:r>
        <w:rPr>
          <w:rFonts w:hint="eastAsia"/>
        </w:rPr>
        <w:t>，</w:t>
      </w:r>
      <w:r>
        <w:t>裁判或技术人员应立即予以制止，避免发生安全事故。</w:t>
      </w:r>
    </w:p>
    <w:p>
      <w:pPr>
        <w:pStyle w:val="5"/>
        <w:bidi w:val="0"/>
      </w:pPr>
      <w:r>
        <w:rPr>
          <w:rFonts w:hint="eastAsia"/>
          <w:lang w:eastAsia="zh-CN"/>
        </w:rPr>
        <w:t>（</w:t>
      </w:r>
      <w:r>
        <w:rPr>
          <w:rFonts w:hint="eastAsia"/>
          <w:lang w:val="en-US" w:eastAsia="zh-CN"/>
        </w:rPr>
        <w:t>二</w:t>
      </w:r>
      <w:r>
        <w:rPr>
          <w:rFonts w:hint="eastAsia"/>
          <w:lang w:eastAsia="zh-CN"/>
        </w:rPr>
        <w:t>）</w:t>
      </w:r>
      <w:r>
        <w:t>设备仪器损坏应急预案</w:t>
      </w:r>
    </w:p>
    <w:p>
      <w:pPr>
        <w:bidi w:val="0"/>
      </w:pPr>
      <w:r>
        <w:t>赛场每个工位安排一名技术人员</w:t>
      </w:r>
      <w:r>
        <w:rPr>
          <w:rFonts w:hint="eastAsia"/>
        </w:rPr>
        <w:t>，</w:t>
      </w:r>
      <w:r>
        <w:t>及时解决比赛中突发的设备故障，解决不了的，采用备用工位，保证竞赛正常进行。</w:t>
      </w:r>
    </w:p>
    <w:p>
      <w:pPr>
        <w:pStyle w:val="5"/>
        <w:bidi w:val="0"/>
      </w:pPr>
      <w:r>
        <w:rPr>
          <w:rFonts w:hint="eastAsia"/>
          <w:lang w:eastAsia="zh-CN"/>
        </w:rPr>
        <w:t>（</w:t>
      </w:r>
      <w:r>
        <w:rPr>
          <w:rFonts w:hint="eastAsia"/>
          <w:lang w:val="en-US" w:eastAsia="zh-CN"/>
        </w:rPr>
        <w:t>三</w:t>
      </w:r>
      <w:r>
        <w:rPr>
          <w:rFonts w:hint="eastAsia"/>
          <w:lang w:eastAsia="zh-CN"/>
        </w:rPr>
        <w:t>）</w:t>
      </w:r>
      <w:r>
        <w:t>电源保障预案</w:t>
      </w:r>
    </w:p>
    <w:p>
      <w:pPr>
        <w:bidi w:val="0"/>
      </w:pPr>
      <w:r>
        <w:rPr>
          <w:rFonts w:hint="eastAsia"/>
          <w:lang w:val="en-US" w:eastAsia="zh-CN"/>
        </w:rPr>
        <w:t>1.</w:t>
      </w:r>
      <w:r>
        <w:t>承办单位事先协调当地供电部门，保证竞赛当天的正常供电</w:t>
      </w:r>
      <w:r>
        <w:rPr>
          <w:rFonts w:hint="eastAsia"/>
        </w:rPr>
        <w:t>。</w:t>
      </w:r>
    </w:p>
    <w:p>
      <w:pPr>
        <w:bidi w:val="0"/>
      </w:pPr>
      <w:r>
        <w:rPr>
          <w:rFonts w:hint="eastAsia"/>
          <w:lang w:val="en-US" w:eastAsia="zh-CN"/>
        </w:rPr>
        <w:t>2.</w:t>
      </w:r>
      <w:r>
        <w:t>竞赛过程中出现设备掉电、故障等意外时，现场裁判需及时确认情况，安排技术支持人员进行处理，现场裁判登记详细情况，填写补时登记表，报裁判长批准后，可安排延长补足相应选手的比赛时间。</w:t>
      </w:r>
    </w:p>
    <w:p>
      <w:pPr>
        <w:bidi w:val="0"/>
      </w:pPr>
      <w:r>
        <w:rPr>
          <w:rFonts w:hint="eastAsia"/>
          <w:lang w:val="en-US" w:eastAsia="zh-CN"/>
        </w:rPr>
        <w:t>3.</w:t>
      </w:r>
      <w:r>
        <w:t>赛场布置时，注意把计算机的电源插头做隐蔽处理，将电源插头放置在选手不容易碰到的位置，避免选手因不小心而将电源线踢掉的现象产生。</w:t>
      </w:r>
    </w:p>
    <w:p>
      <w:pPr>
        <w:pStyle w:val="5"/>
        <w:bidi w:val="0"/>
      </w:pPr>
      <w:r>
        <w:rPr>
          <w:rFonts w:hint="eastAsia"/>
          <w:lang w:eastAsia="zh-CN"/>
        </w:rPr>
        <w:t>（</w:t>
      </w:r>
      <w:r>
        <w:rPr>
          <w:rFonts w:hint="eastAsia"/>
          <w:lang w:val="en-US" w:eastAsia="zh-CN"/>
        </w:rPr>
        <w:t>四</w:t>
      </w:r>
      <w:r>
        <w:rPr>
          <w:rFonts w:hint="eastAsia"/>
          <w:lang w:eastAsia="zh-CN"/>
        </w:rPr>
        <w:t>）</w:t>
      </w:r>
      <w:r>
        <w:t>医疗及安全预案</w:t>
      </w:r>
    </w:p>
    <w:p>
      <w:pPr>
        <w:bidi w:val="0"/>
      </w:pPr>
      <w:r>
        <w:rPr>
          <w:rFonts w:hint="eastAsia"/>
        </w:rPr>
        <w:t>1</w:t>
      </w:r>
      <w:r>
        <w:t>.赛场内设置医疗救护区，竞赛期间，安排医生随时处理突发的医疗事件</w:t>
      </w:r>
      <w:r>
        <w:rPr>
          <w:rFonts w:hint="eastAsia"/>
        </w:rPr>
        <w:t>，赛场外配置专车用于急救</w:t>
      </w:r>
      <w:r>
        <w:t>。</w:t>
      </w:r>
    </w:p>
    <w:p>
      <w:pPr>
        <w:bidi w:val="0"/>
      </w:pPr>
      <w:r>
        <w:rPr>
          <w:rFonts w:hint="eastAsia"/>
        </w:rPr>
        <w:t>2</w:t>
      </w:r>
      <w:r>
        <w:t>.比赛期间发生大规模意外事故和安全问题，发现者应第一时间报告赛项执委会，赛项执委会应采取中止比赛、快速疏散人群等措施避免事态扩大，并第一时间报告赛区执委会。赛项出现重大安全问题可以停赛，是否停赛由赛区执委会决定。</w:t>
      </w:r>
    </w:p>
    <w:p>
      <w:pPr>
        <w:pStyle w:val="4"/>
        <w:bidi w:val="0"/>
        <w:rPr>
          <w:rFonts w:hint="eastAsia"/>
        </w:rPr>
      </w:pPr>
      <w:r>
        <w:rPr>
          <w:rFonts w:hint="eastAsia"/>
        </w:rPr>
        <w:t>十</w:t>
      </w:r>
      <w:r>
        <w:rPr>
          <w:rFonts w:hint="eastAsia"/>
          <w:lang w:eastAsia="zh-CN"/>
        </w:rPr>
        <w:t>三</w:t>
      </w:r>
      <w:r>
        <w:rPr>
          <w:rFonts w:hint="eastAsia"/>
        </w:rPr>
        <w:t>、赛项安全</w:t>
      </w:r>
    </w:p>
    <w:p>
      <w:pPr>
        <w:pStyle w:val="5"/>
        <w:bidi w:val="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赛场环境</w:t>
      </w:r>
    </w:p>
    <w:p>
      <w:pPr>
        <w:bidi w:val="0"/>
      </w:pPr>
      <w:r>
        <w:rPr>
          <w:rFonts w:hint="eastAsia"/>
        </w:rPr>
        <w:t>1.</w:t>
      </w:r>
      <w:r>
        <w:t>赛项</w:t>
      </w:r>
      <w:r>
        <w:rPr>
          <w:rFonts w:hint="eastAsia"/>
        </w:rPr>
        <w:t>承办单位</w:t>
      </w:r>
      <w:r>
        <w:t>须在赛前组织专人对比赛现场、住宿场所和交通保障进行考察，并对安全工作提出明确要求。赛场的布置，赛场内的器材、设备，应符合国家有关安全规定。</w:t>
      </w:r>
    </w:p>
    <w:p>
      <w:pPr>
        <w:bidi w:val="0"/>
      </w:pPr>
      <w:r>
        <w:t>2.赛场周围要设立警戒线，要求所有参赛人员必须凭赛项执委会印发的有效证件进入场地，防止无关人员进入发生意外事件。比赛现场内应参照相关职业岗位的要求为选手提供必要的劳动保护。在具有危险性的操作环节，裁判员要严防选手出现错误操作。</w:t>
      </w:r>
    </w:p>
    <w:p>
      <w:pPr>
        <w:bidi w:val="0"/>
      </w:pPr>
      <w:r>
        <w:t>3.承办单位应提供保证应急预案实施的条件。对于比赛内容涉及高空作业、可能有坠物、大用电量、易发生火灾等情况的赛项，必须明确制度和预案，并配备急救人员与设施。</w:t>
      </w:r>
    </w:p>
    <w:p>
      <w:pPr>
        <w:bidi w:val="0"/>
      </w:pPr>
      <w:r>
        <w:t>4.严格控制与参赛无关的易燃易爆以及各类危险品进入比赛场地，不许携带书包进入赛场。</w:t>
      </w:r>
    </w:p>
    <w:p>
      <w:pPr>
        <w:bidi w:val="0"/>
      </w:pPr>
      <w:r>
        <w:rPr>
          <w:rFonts w:hint="eastAsia"/>
        </w:rPr>
        <w:t>5.</w:t>
      </w:r>
      <w:r>
        <w:t>配备先进的仪器，防止有人利用电磁波干扰比赛秩序。大赛现场需对赛场进行网络安全控制，以免场内外信息交互，充分体现大赛的严肃、公平和公正性。</w:t>
      </w:r>
    </w:p>
    <w:p>
      <w:pPr>
        <w:bidi w:val="0"/>
      </w:pPr>
      <w:r>
        <w:rPr>
          <w:rFonts w:hint="eastAsia"/>
        </w:rPr>
        <w:t>6.</w:t>
      </w:r>
      <w:r>
        <w:t>赛项执委会须会同承办单位制定开放赛场和体验区的人员疏导方案。赛场环境中存在人员密集、车流人流交错的区域，除了设置齐全的指示标志外，须增加引导人员，并开辟备用通道。</w:t>
      </w:r>
    </w:p>
    <w:p>
      <w:pPr>
        <w:bidi w:val="0"/>
      </w:pPr>
      <w:r>
        <w:t>7.大赛期间，承办单位须在赛场管理的关键岗位，增加力量，建立安全管理日志。</w:t>
      </w:r>
    </w:p>
    <w:p>
      <w:pPr>
        <w:pStyle w:val="5"/>
        <w:bidi w:val="0"/>
      </w:pPr>
      <w:r>
        <w:rPr>
          <w:rFonts w:hint="eastAsia"/>
          <w:lang w:eastAsia="zh-CN"/>
        </w:rPr>
        <w:t>（</w:t>
      </w:r>
      <w:r>
        <w:rPr>
          <w:rFonts w:hint="eastAsia"/>
          <w:lang w:val="en-US" w:eastAsia="zh-CN"/>
        </w:rPr>
        <w:t>二</w:t>
      </w:r>
      <w:r>
        <w:rPr>
          <w:rFonts w:hint="eastAsia"/>
          <w:lang w:eastAsia="zh-CN"/>
        </w:rPr>
        <w:t>）</w:t>
      </w:r>
      <w:r>
        <w:t>生活条件</w:t>
      </w:r>
    </w:p>
    <w:p>
      <w:pPr>
        <w:bidi w:val="0"/>
      </w:pPr>
      <w:r>
        <w:rPr>
          <w:rFonts w:hint="eastAsia"/>
        </w:rPr>
        <w:t>比</w:t>
      </w:r>
      <w:r>
        <w:t>赛期间，原则上</w:t>
      </w:r>
      <w:r>
        <w:rPr>
          <w:rFonts w:hint="eastAsia"/>
        </w:rPr>
        <w:t>承办单位</w:t>
      </w:r>
      <w:r>
        <w:t>统一安排参赛选手和指导教师食宿。承办单位须尊重少数民族的信仰及文化，根据国家相关的民族政策，安排好少数民族选手和教师的饮食起居。</w:t>
      </w:r>
    </w:p>
    <w:p>
      <w:pPr>
        <w:bidi w:val="0"/>
      </w:pPr>
      <w:r>
        <w:t>比赛期间安排的住宿地应具有宾馆/住宿经营许可资质。</w:t>
      </w:r>
    </w:p>
    <w:p>
      <w:pPr>
        <w:bidi w:val="0"/>
      </w:pPr>
      <w:r>
        <w:t>承办单位须保证比赛期间选手、指导教师和裁判员、工作人员的交通安全。</w:t>
      </w:r>
    </w:p>
    <w:p>
      <w:pPr>
        <w:bidi w:val="0"/>
      </w:pPr>
      <w:r>
        <w:t>各赛项的安全管理，除了可以采取必要的安全隔离措施外，应严格遵守国家相关法律法规，保护个人隐私和人身自由。</w:t>
      </w:r>
    </w:p>
    <w:p>
      <w:pPr>
        <w:pStyle w:val="5"/>
        <w:bidi w:val="0"/>
      </w:pPr>
      <w:r>
        <w:rPr>
          <w:rFonts w:hint="eastAsia"/>
          <w:lang w:eastAsia="zh-CN"/>
        </w:rPr>
        <w:t>（</w:t>
      </w:r>
      <w:r>
        <w:rPr>
          <w:rFonts w:hint="eastAsia"/>
          <w:lang w:val="en-US" w:eastAsia="zh-CN"/>
        </w:rPr>
        <w:t>三</w:t>
      </w:r>
      <w:r>
        <w:rPr>
          <w:rFonts w:hint="eastAsia"/>
          <w:lang w:eastAsia="zh-CN"/>
        </w:rPr>
        <w:t>）</w:t>
      </w:r>
      <w:r>
        <w:t>组队责任</w:t>
      </w:r>
    </w:p>
    <w:p>
      <w:pPr>
        <w:bidi w:val="0"/>
      </w:pPr>
      <w:r>
        <w:rPr>
          <w:rFonts w:hint="eastAsia"/>
          <w:lang w:val="en-US" w:eastAsia="zh-CN"/>
        </w:rPr>
        <w:t>1.</w:t>
      </w:r>
      <w:r>
        <w:t>各学校组织代表队时，须安排为参赛选手购买大赛期间的人身意外伤害保险。</w:t>
      </w:r>
    </w:p>
    <w:p>
      <w:pPr>
        <w:bidi w:val="0"/>
      </w:pPr>
      <w:r>
        <w:t>2.各学校代表队组成后，须制定相关管理制度，对所有选手</w:t>
      </w:r>
      <w:r>
        <w:rPr>
          <w:rFonts w:hint="eastAsia"/>
        </w:rPr>
        <w:t>、</w:t>
      </w:r>
      <w:r>
        <w:t>指导教师进行安全教育。</w:t>
      </w:r>
    </w:p>
    <w:p>
      <w:pPr>
        <w:bidi w:val="0"/>
      </w:pPr>
      <w:r>
        <w:t>3.各参赛队伍须加强对参与比赛人员的安全管理，实现与赛场安全管理的对接。</w:t>
      </w:r>
    </w:p>
    <w:p>
      <w:pPr>
        <w:pStyle w:val="5"/>
        <w:bidi w:val="0"/>
      </w:pPr>
      <w:r>
        <w:rPr>
          <w:rFonts w:hint="eastAsia"/>
          <w:lang w:eastAsia="zh-CN"/>
        </w:rPr>
        <w:t>（</w:t>
      </w:r>
      <w:r>
        <w:rPr>
          <w:rFonts w:hint="eastAsia"/>
          <w:lang w:val="en-US" w:eastAsia="zh-CN"/>
        </w:rPr>
        <w:t>四</w:t>
      </w:r>
      <w:r>
        <w:rPr>
          <w:rFonts w:hint="eastAsia"/>
          <w:lang w:eastAsia="zh-CN"/>
        </w:rPr>
        <w:t>）</w:t>
      </w:r>
      <w:r>
        <w:t>应急处理</w:t>
      </w:r>
    </w:p>
    <w:p>
      <w:pPr>
        <w:bidi w:val="0"/>
      </w:pPr>
      <w:r>
        <w:t>比赛期间发生意外事故，发现者应第一时间报告</w:t>
      </w:r>
      <w:r>
        <w:rPr>
          <w:rFonts w:hint="eastAsia"/>
        </w:rPr>
        <w:t>裁判长</w:t>
      </w:r>
      <w:r>
        <w:t>，同时采取措施避免事态扩大。</w:t>
      </w:r>
      <w:r>
        <w:rPr>
          <w:rFonts w:hint="eastAsia"/>
        </w:rPr>
        <w:t>裁判长视情况向承办单位报告</w:t>
      </w:r>
      <w:r>
        <w:t>。</w:t>
      </w:r>
    </w:p>
    <w:p>
      <w:pPr>
        <w:pStyle w:val="5"/>
        <w:bidi w:val="0"/>
      </w:pPr>
      <w:r>
        <w:rPr>
          <w:rFonts w:hint="eastAsia"/>
          <w:lang w:eastAsia="zh-CN"/>
        </w:rPr>
        <w:t>（</w:t>
      </w:r>
      <w:r>
        <w:rPr>
          <w:rFonts w:hint="eastAsia"/>
          <w:lang w:val="en-US" w:eastAsia="zh-CN"/>
        </w:rPr>
        <w:t>五</w:t>
      </w:r>
      <w:r>
        <w:rPr>
          <w:rFonts w:hint="eastAsia"/>
          <w:lang w:eastAsia="zh-CN"/>
        </w:rPr>
        <w:t>）</w:t>
      </w:r>
      <w:r>
        <w:t>处罚措施</w:t>
      </w:r>
    </w:p>
    <w:p>
      <w:pPr>
        <w:bidi w:val="0"/>
      </w:pPr>
      <w:r>
        <w:t>1.因参赛队伍原因造成重大安全事故的，取消其获奖资格。</w:t>
      </w:r>
    </w:p>
    <w:p>
      <w:pPr>
        <w:bidi w:val="0"/>
      </w:pPr>
      <w:r>
        <w:t>2.参赛队伍有发生重大安全事故隐患，经赛场工作人员提示、警告无效的，可取消其继续比赛的资格。</w:t>
      </w:r>
    </w:p>
    <w:p>
      <w:pPr>
        <w:bidi w:val="0"/>
      </w:pPr>
      <w:r>
        <w:t>3.赛事工作人员违规的，按照相应的制度追究责任。情节恶劣并造成重大安全事故的，由司法机关追究相应法律责任。</w:t>
      </w:r>
    </w:p>
    <w:p>
      <w:pPr>
        <w:pStyle w:val="4"/>
        <w:bidi w:val="0"/>
      </w:pPr>
      <w:r>
        <w:t>十</w:t>
      </w:r>
      <w:r>
        <w:rPr>
          <w:rFonts w:hint="eastAsia"/>
          <w:lang w:eastAsia="zh-CN"/>
        </w:rPr>
        <w:t>四</w:t>
      </w:r>
      <w:r>
        <w:t>、竞赛须知</w:t>
      </w:r>
    </w:p>
    <w:p>
      <w:pPr>
        <w:pStyle w:val="5"/>
        <w:bidi w:val="0"/>
      </w:pPr>
      <w:r>
        <w:rPr>
          <w:rFonts w:hint="eastAsia"/>
          <w:lang w:eastAsia="zh-CN"/>
        </w:rPr>
        <w:t>（</w:t>
      </w:r>
      <w:r>
        <w:rPr>
          <w:rFonts w:hint="eastAsia"/>
          <w:lang w:val="en-US" w:eastAsia="zh-CN"/>
        </w:rPr>
        <w:t>一</w:t>
      </w:r>
      <w:r>
        <w:rPr>
          <w:rFonts w:hint="eastAsia"/>
          <w:lang w:eastAsia="zh-CN"/>
        </w:rPr>
        <w:t>）</w:t>
      </w:r>
      <w:r>
        <w:t>参赛须知</w:t>
      </w:r>
    </w:p>
    <w:p>
      <w:pPr>
        <w:bidi w:val="0"/>
      </w:pPr>
      <w:r>
        <w:rPr>
          <w:rFonts w:hint="eastAsia"/>
        </w:rPr>
        <w:t>1</w:t>
      </w:r>
      <w:r>
        <w:t>.参赛选手和指导教师报名获得确认后不得随意更换。</w:t>
      </w:r>
    </w:p>
    <w:p>
      <w:pPr>
        <w:bidi w:val="0"/>
      </w:pPr>
      <w:r>
        <w:rPr>
          <w:rFonts w:hint="eastAsia"/>
        </w:rPr>
        <w:t>2</w:t>
      </w:r>
      <w:r>
        <w:t>.参赛队按照大赛赛程安排，凭参赛证和有效身份证件参加比赛及相关活动。</w:t>
      </w:r>
    </w:p>
    <w:p>
      <w:pPr>
        <w:bidi w:val="0"/>
      </w:pPr>
      <w:r>
        <w:rPr>
          <w:rFonts w:hint="eastAsia"/>
        </w:rPr>
        <w:t>3</w:t>
      </w:r>
      <w:r>
        <w:t>.参赛院校须为参赛队员购买保险。</w:t>
      </w:r>
    </w:p>
    <w:p>
      <w:pPr>
        <w:bidi w:val="0"/>
      </w:pPr>
      <w:r>
        <w:rPr>
          <w:rFonts w:hint="eastAsia"/>
        </w:rPr>
        <w:t>4</w:t>
      </w:r>
      <w:r>
        <w:t>.参赛院校人员应遵守承办院校发布的有关规定。</w:t>
      </w:r>
    </w:p>
    <w:p>
      <w:pPr>
        <w:pStyle w:val="4"/>
        <w:bidi w:val="0"/>
      </w:pPr>
      <w:r>
        <w:rPr>
          <w:rFonts w:hint="eastAsia"/>
          <w:lang w:eastAsia="zh-CN"/>
        </w:rPr>
        <w:t>（</w:t>
      </w:r>
      <w:r>
        <w:rPr>
          <w:rFonts w:hint="eastAsia"/>
          <w:lang w:val="en-US" w:eastAsia="zh-CN"/>
        </w:rPr>
        <w:t>二</w:t>
      </w:r>
      <w:r>
        <w:rPr>
          <w:rFonts w:hint="eastAsia"/>
          <w:lang w:eastAsia="zh-CN"/>
        </w:rPr>
        <w:t>）</w:t>
      </w:r>
      <w:r>
        <w:t>指导教师须知</w:t>
      </w:r>
    </w:p>
    <w:p>
      <w:pPr>
        <w:bidi w:val="0"/>
      </w:pPr>
      <w:r>
        <w:t>1.各参赛队要发扬良好</w:t>
      </w:r>
      <w:r>
        <w:rPr>
          <w:rFonts w:hint="eastAsia"/>
        </w:rPr>
        <w:t>的</w:t>
      </w:r>
      <w:r>
        <w:t>道德风尚，听从指挥，服从裁判，不弄虚作假。如发现弄虚作假者，取消参赛资格，名次无效。</w:t>
      </w:r>
    </w:p>
    <w:p>
      <w:pPr>
        <w:bidi w:val="0"/>
      </w:pPr>
      <w:r>
        <w:t>2.各</w:t>
      </w:r>
      <w:r>
        <w:rPr>
          <w:rFonts w:hint="eastAsia"/>
        </w:rPr>
        <w:t>参赛</w:t>
      </w:r>
      <w:r>
        <w:t>队领队要坚决执行竞赛的各项规定，加强对参赛人员的管理，做好赛前准备工作，督促选手带好证件等竞赛相关材料。</w:t>
      </w:r>
    </w:p>
    <w:p>
      <w:pPr>
        <w:bidi w:val="0"/>
      </w:pPr>
      <w:r>
        <w:rPr>
          <w:rFonts w:hint="eastAsia"/>
        </w:rPr>
        <w:t>3.</w:t>
      </w:r>
      <w:r>
        <w:t>竞赛过程中，除参加当场次竞赛的选手、执行裁判员、现场工作人员和经批准的人员外，领队、指导教师及其他人员一律不得进入竞赛区域。</w:t>
      </w:r>
    </w:p>
    <w:p>
      <w:pPr>
        <w:bidi w:val="0"/>
      </w:pPr>
      <w:r>
        <w:t>4.参赛代表队若对竞赛过程有异议，在规定的时间内由领队向赛项监督仲裁组提出书面报告。</w:t>
      </w:r>
    </w:p>
    <w:p>
      <w:pPr>
        <w:bidi w:val="0"/>
      </w:pPr>
      <w:r>
        <w:t>5.对申诉的仲裁结果，领队、指导教师要带头服从和执行，并做好选手工作。参赛选手不得因申诉或对处理意见不服而停止竞赛，否则以弃权处理。</w:t>
      </w:r>
    </w:p>
    <w:p>
      <w:pPr>
        <w:bidi w:val="0"/>
      </w:pPr>
      <w:r>
        <w:t>6.指导老师应及时查看大赛专用网页有关赛项的通知和内容，认真研究和掌握本赛项竞赛的规程、技术规范和赛场要求，指导选手做好赛前的一切技术准备和竞赛准备。</w:t>
      </w:r>
    </w:p>
    <w:p>
      <w:pPr>
        <w:pStyle w:val="5"/>
        <w:bidi w:val="0"/>
      </w:pPr>
      <w:r>
        <w:rPr>
          <w:rFonts w:hint="eastAsia"/>
          <w:lang w:eastAsia="zh-CN"/>
        </w:rPr>
        <w:t>（</w:t>
      </w:r>
      <w:r>
        <w:rPr>
          <w:rFonts w:hint="eastAsia"/>
          <w:lang w:val="en-US" w:eastAsia="zh-CN"/>
        </w:rPr>
        <w:t>三</w:t>
      </w:r>
      <w:r>
        <w:rPr>
          <w:rFonts w:hint="eastAsia"/>
          <w:lang w:eastAsia="zh-CN"/>
        </w:rPr>
        <w:t>）</w:t>
      </w:r>
      <w:r>
        <w:t>参赛选手须知</w:t>
      </w:r>
    </w:p>
    <w:p>
      <w:pPr>
        <w:bidi w:val="0"/>
      </w:pPr>
      <w:r>
        <w:rPr>
          <w:rFonts w:hint="eastAsia"/>
          <w:lang w:val="en-US" w:eastAsia="zh-CN"/>
        </w:rPr>
        <w:t>1.</w:t>
      </w:r>
      <w:r>
        <w:t>参赛选手应按有关要求如实填报个人信息，否则取消竞赛资格。</w:t>
      </w:r>
    </w:p>
    <w:p>
      <w:pPr>
        <w:bidi w:val="0"/>
      </w:pPr>
      <w:r>
        <w:t>2.参赛选手凭统一印制的参赛证和有效身份证件参加竞赛。</w:t>
      </w:r>
    </w:p>
    <w:p>
      <w:pPr>
        <w:bidi w:val="0"/>
      </w:pPr>
      <w:r>
        <w:t>3.参赛选手应认真学习领会本次竞赛相关文件，自觉遵守大赛纪律，服从指挥，听从安排，文明参赛。</w:t>
      </w:r>
    </w:p>
    <w:p>
      <w:pPr>
        <w:bidi w:val="0"/>
      </w:pPr>
      <w:r>
        <w:t>4.参赛选手请勿携带与竞赛无关的电子设备、通讯设备及其他资料与用品进入赛场。</w:t>
      </w:r>
    </w:p>
    <w:p>
      <w:pPr>
        <w:bidi w:val="0"/>
      </w:pPr>
      <w:r>
        <w:t>5.参赛选手应提前30分钟抵达赛场，凭参赛证、身份证件检录，按要求入场，不得迟到早退。竞赛开始后迟到15分钟以上者取消比赛资格；开赛</w:t>
      </w:r>
      <w:r>
        <w:rPr>
          <w:rFonts w:hint="eastAsia"/>
        </w:rPr>
        <w:t>2</w:t>
      </w:r>
      <w:r>
        <w:t>0分钟后，选手方可离开赛场。</w:t>
      </w:r>
    </w:p>
    <w:p>
      <w:pPr>
        <w:bidi w:val="0"/>
      </w:pPr>
      <w:r>
        <w:t>6.参赛选手应按抽签结果在指定位置进行比赛。</w:t>
      </w:r>
    </w:p>
    <w:p>
      <w:pPr>
        <w:bidi w:val="0"/>
      </w:pPr>
      <w:r>
        <w:t>7.竞赛过程中，参赛选手必须严格遵守赛场纪律，不得在赛场内大声喧哗，不得作弊或弄虚作假；同时，必须严格遵守操作规程，确</w:t>
      </w:r>
      <w:r>
        <w:rPr>
          <w:rFonts w:hint="eastAsia"/>
        </w:rPr>
        <w:t>保</w:t>
      </w:r>
      <w:r>
        <w:t>设备和人身安全，并接受裁判员的监督和警示。若因选手因素造成设备故障或损坏，无法进行比赛，裁判长有权终止该队比赛；若因非选手个人因素造成设备故障的，由裁判长视具体情况做出裁决。</w:t>
      </w:r>
    </w:p>
    <w:p>
      <w:pPr>
        <w:bidi w:val="0"/>
      </w:pPr>
      <w:r>
        <w:t>8.各参赛选手必须按规范要求操作竞赛设备。一旦出现较严重的安全事故，经裁判长批准后可立即取消其参赛资格。</w:t>
      </w:r>
    </w:p>
    <w:p>
      <w:pPr>
        <w:bidi w:val="0"/>
      </w:pPr>
      <w:r>
        <w:t>9.竞赛时间终了，选手应立即结束操作。经现场指挥人员发出指令后，方可离开赛场。</w:t>
      </w:r>
    </w:p>
    <w:p>
      <w:pPr>
        <w:bidi w:val="0"/>
      </w:pPr>
      <w:r>
        <w:t>10.在竞赛期间，未经执委会的批准，参赛选手不得接受其他单位和个人进行的与竞赛内容相关的采访。参赛选手不得将竞赛的相关信息私自公布。</w:t>
      </w:r>
    </w:p>
    <w:p>
      <w:pPr>
        <w:pStyle w:val="4"/>
        <w:bidi w:val="0"/>
      </w:pPr>
      <w:r>
        <w:t>十</w:t>
      </w:r>
      <w:r>
        <w:rPr>
          <w:rFonts w:hint="eastAsia"/>
          <w:lang w:eastAsia="zh-CN"/>
        </w:rPr>
        <w:t>五</w:t>
      </w:r>
      <w:r>
        <w:t>、申诉与仲裁</w:t>
      </w:r>
    </w:p>
    <w:p>
      <w:pPr>
        <w:bidi w:val="0"/>
      </w:pPr>
      <w:r>
        <w:rPr>
          <w:rFonts w:hint="eastAsia"/>
        </w:rPr>
        <w:t>1.</w:t>
      </w:r>
      <w:r>
        <w:t>本赛项在比赛过程中若出现有失公正或有关人员违规等现象，参赛队领队可在比赛结束后</w:t>
      </w:r>
      <w:r>
        <w:rPr>
          <w:rFonts w:hint="eastAsia"/>
        </w:rPr>
        <w:t>1</w:t>
      </w:r>
      <w:r>
        <w:t>小时之内向监督仲裁组提出书面申诉。</w:t>
      </w:r>
    </w:p>
    <w:p>
      <w:pPr>
        <w:bidi w:val="0"/>
      </w:pPr>
      <w:r>
        <w:rPr>
          <w:rFonts w:hint="eastAsia"/>
        </w:rPr>
        <w:t>2.</w:t>
      </w:r>
      <w:r>
        <w:t>书面申诉应对申诉事件的现象、发生时间、涉及人员、申诉依据等进行充分、实事求是的叙述，并由领队亲笔签名。非书面申诉不予受理。</w:t>
      </w:r>
    </w:p>
    <w:p>
      <w:pPr>
        <w:bidi w:val="0"/>
      </w:pPr>
      <w:r>
        <w:rPr>
          <w:rFonts w:hint="eastAsia"/>
        </w:rPr>
        <w:t>3.</w:t>
      </w:r>
      <w:r>
        <w:t>赛项监督仲裁组在接到申诉报告后的</w:t>
      </w:r>
      <w:r>
        <w:rPr>
          <w:rFonts w:hint="eastAsia"/>
        </w:rPr>
        <w:t>1</w:t>
      </w:r>
      <w:r>
        <w:t>小时内组织复议，并及时将复议结果以书面形式告知申诉方。</w:t>
      </w:r>
    </w:p>
    <w:p>
      <w:pPr>
        <w:bidi w:val="0"/>
      </w:pPr>
      <w:r>
        <w:rPr>
          <w:rFonts w:hint="eastAsia"/>
        </w:rPr>
        <w:t>4</w:t>
      </w:r>
      <w:r>
        <w:t>.请务必保持赛场清洁，将饮料食品包装、烟头及其他杂物扔进垃圾箱。</w:t>
      </w:r>
    </w:p>
    <w:p>
      <w:pPr>
        <w:bidi w:val="0"/>
      </w:pPr>
      <w:r>
        <w:rPr>
          <w:rFonts w:hint="eastAsia"/>
        </w:rPr>
        <w:t>5</w:t>
      </w:r>
      <w:r>
        <w:t>.观摩期间，严重违纪者除本人被逐出观摩赛场地外，还将视情况严重程度对所在代表队的选手的成绩进行扣分直至取消比赛资格。</w:t>
      </w:r>
    </w:p>
    <w:p>
      <w:pPr>
        <w:bidi w:val="0"/>
        <w:rPr>
          <w:rFonts w:hint="default"/>
          <w:lang w:val="en-US" w:eastAsia="zh-CN"/>
        </w:rPr>
      </w:pPr>
      <w:r>
        <w:rPr>
          <w:rFonts w:hint="eastAsia"/>
        </w:rPr>
        <w:t>6</w:t>
      </w:r>
      <w:r>
        <w:t>.如果对裁判裁决产生质疑的，请通过各参赛队领队向赛项</w:t>
      </w:r>
      <w:r>
        <w:rPr>
          <w:rFonts w:hint="eastAsia"/>
        </w:rPr>
        <w:t>监督仲裁组提出，不得在比赛现场发言。</w:t>
      </w:r>
    </w:p>
    <w:sectPr>
      <w:footerReference r:id="rId5" w:type="default"/>
      <w:pgSz w:w="11906" w:h="16839"/>
      <w:pgMar w:top="1431" w:right="1312" w:bottom="1083" w:left="1684" w:header="0" w:footer="922"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216"/>
      <w:rPr>
        <w:rFonts w:ascii="Calibri" w:hAnsi="Calibri" w:eastAsia="Calibri" w:cs="Calibri"/>
        <w:sz w:val="17"/>
        <w:szCs w:val="17"/>
      </w:rPr>
    </w:pPr>
    <w:r>
      <w:rPr>
        <w:sz w:val="17"/>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UqPGc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MrSKKZQsXPP76f&#10;f/4+//pGcAaBGuvniHuwiAztO9OibYZzj8PIuy2dil8wIvAD63SRV7SB8HhpNp3NxnBx+IYN8LOn&#10;69b58F4YRaKRU4f6JVnZcetDFzqExGzabGopUw2lJk1Or6/ejtOFiwfgUiNHJNE9Nlqh3bU9s50p&#10;TiDmTNcb3vJNjeRb5sM9c2gGPBjjEu6wlNIgiektSirjvv7rPMajRvBS0qC5cqoxS5TIDxq1A2AY&#10;DDcYu8HQB3Vr0K0TjKHlycQFF+Rgls6oL5ihVcwBF9McmXIaBvM2dA2OGeRitUpB6DbLwlY/WB6h&#10;o3jerg4BAiZdoyidEr1W6LdUmX42YkP/uU9RT/+D5S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pSo8ZywCAABXBAAADgAAAAAAAAABACAAAAAfAQAAZHJzL2Uyb0RvYy54bWxQSwUGAAAAAAYA&#10;BgBZAQAAvQUAAAAA&#10;">
              <v:fill on="f" focussize="0,0"/>
              <v:stroke on="f" weight="0.5pt"/>
              <v:imagedata o:title=""/>
              <o:lock v:ext="edit" aspectratio="f"/>
              <v:textbox inset="0mm,0mm,0mm,0mm" style="mso-fit-shape-to-text:t;">
                <w:txbxContent>
                  <w:p>
                    <w:pPr>
                      <w:pStyle w:val="10"/>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23</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B9080E"/>
    <w:multiLevelType w:val="singleLevel"/>
    <w:tmpl w:val="D5B9080E"/>
    <w:lvl w:ilvl="0" w:tentative="0">
      <w:start w:val="1"/>
      <w:numFmt w:val="decimal"/>
      <w:suff w:val="nothing"/>
      <w:lvlText w:val="%1"/>
      <w:lvlJc w:val="center"/>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zFkYmMwZWNhNjA0ZjZhZTRhMWI3N2JiNDkyOGJiNTgifQ=="/>
    <w:docVar w:name="KSO_WPS_MARK_KEY" w:val="261b7c99-2002-435b-a943-6aecb0567fe4"/>
  </w:docVars>
  <w:rsids>
    <w:rsidRoot w:val="007E5F3F"/>
    <w:rsid w:val="000875C4"/>
    <w:rsid w:val="00391E87"/>
    <w:rsid w:val="00777495"/>
    <w:rsid w:val="007E5F3F"/>
    <w:rsid w:val="00874BC7"/>
    <w:rsid w:val="00895522"/>
    <w:rsid w:val="00C8485D"/>
    <w:rsid w:val="02BF0A16"/>
    <w:rsid w:val="091967DA"/>
    <w:rsid w:val="12A83E03"/>
    <w:rsid w:val="15E038B4"/>
    <w:rsid w:val="18ED6A01"/>
    <w:rsid w:val="1E9959D8"/>
    <w:rsid w:val="20232D1B"/>
    <w:rsid w:val="22E771D2"/>
    <w:rsid w:val="26E223FE"/>
    <w:rsid w:val="2A0422A1"/>
    <w:rsid w:val="2F0B32F8"/>
    <w:rsid w:val="37E961A0"/>
    <w:rsid w:val="43074970"/>
    <w:rsid w:val="430D5F96"/>
    <w:rsid w:val="4AD60806"/>
    <w:rsid w:val="524F5753"/>
    <w:rsid w:val="53484562"/>
    <w:rsid w:val="556E2FF1"/>
    <w:rsid w:val="58456745"/>
    <w:rsid w:val="5B353327"/>
    <w:rsid w:val="5D8B06E5"/>
    <w:rsid w:val="5DCD2768"/>
    <w:rsid w:val="60E96B4B"/>
    <w:rsid w:val="651D5558"/>
    <w:rsid w:val="6812409B"/>
    <w:rsid w:val="6D8A6DFB"/>
    <w:rsid w:val="6DFC474D"/>
    <w:rsid w:val="6F762158"/>
    <w:rsid w:val="740A5D19"/>
    <w:rsid w:val="7ABB6F4D"/>
    <w:rsid w:val="7B46848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Theme="minorEastAsia"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580" w:lineRule="exact"/>
      <w:ind w:firstLine="756" w:firstLineChars="200"/>
      <w:textAlignment w:val="baseline"/>
    </w:pPr>
    <w:rPr>
      <w:rFonts w:ascii="仿宋_GB2312" w:hAnsi="仿宋_GB2312" w:eastAsia="仿宋_GB2312" w:cs="Arial"/>
      <w:snapToGrid w:val="0"/>
      <w:color w:val="000000"/>
      <w:sz w:val="32"/>
      <w:szCs w:val="21"/>
      <w:lang w:val="en-US" w:eastAsia="zh-CN" w:bidi="ar-SA"/>
    </w:rPr>
  </w:style>
  <w:style w:type="paragraph" w:styleId="4">
    <w:name w:val="heading 2"/>
    <w:basedOn w:val="1"/>
    <w:next w:val="1"/>
    <w:unhideWhenUsed/>
    <w:qFormat/>
    <w:uiPriority w:val="0"/>
    <w:pPr>
      <w:keepNext/>
      <w:keepLines/>
      <w:spacing w:beforeLines="0" w:beforeAutospacing="0" w:afterLines="0" w:afterAutospacing="0" w:line="580" w:lineRule="exact"/>
      <w:ind w:firstLine="756" w:firstLineChars="200"/>
      <w:outlineLvl w:val="1"/>
    </w:pPr>
    <w:rPr>
      <w:rFonts w:ascii="黑体" w:hAnsi="黑体" w:eastAsia="黑体"/>
      <w:sz w:val="32"/>
    </w:rPr>
  </w:style>
  <w:style w:type="paragraph" w:styleId="5">
    <w:name w:val="heading 3"/>
    <w:basedOn w:val="1"/>
    <w:next w:val="1"/>
    <w:unhideWhenUsed/>
    <w:qFormat/>
    <w:uiPriority w:val="0"/>
    <w:pPr>
      <w:keepNext/>
      <w:keepLines/>
      <w:spacing w:beforeLines="0" w:beforeAutospacing="0" w:afterLines="0" w:afterAutospacing="0" w:line="580" w:lineRule="exact"/>
      <w:outlineLvl w:val="2"/>
    </w:pPr>
    <w:rPr>
      <w:rFonts w:eastAsia="楷体_GB2312"/>
    </w:rPr>
  </w:style>
  <w:style w:type="paragraph" w:styleId="6">
    <w:name w:val="heading 4"/>
    <w:basedOn w:val="1"/>
    <w:next w:val="1"/>
    <w:unhideWhenUsed/>
    <w:qFormat/>
    <w:uiPriority w:val="0"/>
    <w:pPr>
      <w:keepNext/>
      <w:keepLines/>
      <w:spacing w:beforeLines="0" w:beforeAutospacing="0" w:afterLines="0" w:afterAutospacing="0" w:line="280" w:lineRule="exact"/>
      <w:ind w:firstLine="0" w:firstLineChars="0"/>
      <w:jc w:val="center"/>
      <w:outlineLvl w:val="3"/>
    </w:pPr>
    <w:rPr>
      <w:rFonts w:ascii="仿宋_GB2312" w:hAnsi="仿宋_GB2312" w:eastAsia="仿宋_GB2312"/>
      <w:b/>
      <w:sz w:val="24"/>
    </w:rPr>
  </w:style>
  <w:style w:type="paragraph" w:styleId="7">
    <w:name w:val="heading 5"/>
    <w:basedOn w:val="1"/>
    <w:next w:val="1"/>
    <w:unhideWhenUsed/>
    <w:qFormat/>
    <w:uiPriority w:val="0"/>
    <w:pPr>
      <w:keepNext/>
      <w:keepLines/>
      <w:spacing w:beforeLines="0" w:beforeAutospacing="0" w:afterLines="0" w:afterAutospacing="0" w:line="240" w:lineRule="auto"/>
      <w:ind w:firstLine="0" w:firstLineChars="0"/>
      <w:jc w:val="center"/>
      <w:outlineLvl w:val="4"/>
    </w:pPr>
    <w:rPr>
      <w:sz w:val="24"/>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w:basedOn w:val="3"/>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3">
    <w:name w:val="Body Text"/>
    <w:basedOn w:val="1"/>
    <w:qFormat/>
    <w:uiPriority w:val="0"/>
    <w:pPr>
      <w:widowControl w:val="0"/>
      <w:spacing w:before="0" w:after="120"/>
      <w:ind w:left="0" w:right="0"/>
      <w:jc w:val="both"/>
    </w:pPr>
    <w:rPr>
      <w:rFonts w:ascii="Times New Roman" w:hAnsi="Times New Roman" w:eastAsia="宋体" w:cs="Times New Roman"/>
      <w:kern w:val="2"/>
      <w:sz w:val="21"/>
      <w:szCs w:val="24"/>
      <w:lang w:val="en-US" w:eastAsia="zh-CN" w:bidi="ar-SA"/>
    </w:rPr>
  </w:style>
  <w:style w:type="paragraph" w:styleId="8">
    <w:name w:val="Plain Text"/>
    <w:basedOn w:val="1"/>
    <w:unhideWhenUsed/>
    <w:qFormat/>
    <w:uiPriority w:val="99"/>
    <w:rPr>
      <w:rFonts w:ascii="宋体" w:hAnsi="Courier New" w:cs="Courier New"/>
      <w:szCs w:val="21"/>
    </w:rPr>
  </w:style>
  <w:style w:type="paragraph" w:styleId="9">
    <w:name w:val="Balloon Text"/>
    <w:basedOn w:val="1"/>
    <w:link w:val="15"/>
    <w:qFormat/>
    <w:uiPriority w:val="0"/>
    <w:rPr>
      <w:sz w:val="18"/>
      <w:szCs w:val="18"/>
    </w:rPr>
  </w:style>
  <w:style w:type="paragraph" w:styleId="10">
    <w:name w:val="footer"/>
    <w:basedOn w:val="1"/>
    <w:uiPriority w:val="0"/>
    <w:pPr>
      <w:tabs>
        <w:tab w:val="center" w:pos="4153"/>
        <w:tab w:val="right" w:pos="8306"/>
      </w:tabs>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table" w:customStyle="1" w:styleId="14">
    <w:name w:val="Table Normal"/>
    <w:semiHidden/>
    <w:unhideWhenUsed/>
    <w:qFormat/>
    <w:uiPriority w:val="0"/>
    <w:tblPr>
      <w:tblCellMar>
        <w:top w:w="0" w:type="dxa"/>
        <w:left w:w="0" w:type="dxa"/>
        <w:bottom w:w="0" w:type="dxa"/>
        <w:right w:w="0" w:type="dxa"/>
      </w:tblCellMar>
    </w:tblPr>
  </w:style>
  <w:style w:type="character" w:customStyle="1" w:styleId="15">
    <w:name w:val="批注框文本 Char"/>
    <w:basedOn w:val="13"/>
    <w:link w:val="9"/>
    <w:qFormat/>
    <w:uiPriority w:val="0"/>
    <w:rPr>
      <w:rFonts w:eastAsia="Arial"/>
      <w:snapToGrid w:val="0"/>
      <w:color w:val="000000"/>
      <w:sz w:val="18"/>
      <w:szCs w:val="18"/>
    </w:r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11889</Words>
  <Characters>12711</Characters>
  <Lines>108</Lines>
  <Paragraphs>30</Paragraphs>
  <TotalTime>0</TotalTime>
  <ScaleCrop>false</ScaleCrop>
  <LinksUpToDate>false</LinksUpToDate>
  <CharactersWithSpaces>13545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2023-02-05T01:41:00Z</dcterms:created>
  <dc:creator>王平会</dc:creator>
  <cp:lastModifiedBy>FZD</cp:lastModifiedBy>
  <cp:lastPrinted>2023-03-09T01:41:00Z</cp:lastPrinted>
  <dcterms:modified xsi:type="dcterms:W3CDTF">2023-11-24T07:34:07Z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2023-03-05T10:53:00Z</vt:filetime>
  </property>
  <property fmtid="{D5CDD505-2E9C-101B-9397-08002B2CF9AE}" pid="4" name="KSOProductBuildVer">
    <vt:lpwstr>2052-11.8.2.10393</vt:lpwstr>
  </property>
  <property fmtid="{D5CDD505-2E9C-101B-9397-08002B2CF9AE}" pid="5" name="ICV">
    <vt:lpwstr>7918EBEBABCA4042A52D5A3571B73D7A_13</vt:lpwstr>
  </property>
</Properties>
</file>