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0"/>
          <w:szCs w:val="30"/>
        </w:rPr>
      </w:pPr>
    </w:p>
    <w:p>
      <w:pPr>
        <w:jc w:val="center"/>
        <w:rPr>
          <w:rFonts w:ascii="Times New Roman" w:hAnsi="Times New Roman" w:eastAsia="方正小标宋简体"/>
          <w:w w:val="90"/>
          <w:sz w:val="72"/>
          <w:szCs w:val="72"/>
        </w:rPr>
      </w:pPr>
    </w:p>
    <w:p>
      <w:pPr>
        <w:spacing w:after="156" w:afterLines="50"/>
        <w:jc w:val="center"/>
        <w:outlineLvl w:val="0"/>
        <w:rPr>
          <w:rFonts w:hint="eastAsia" w:ascii="黑体" w:hAnsi="黑体" w:eastAsia="黑体" w:cs="黑体"/>
          <w:sz w:val="52"/>
          <w:szCs w:val="52"/>
        </w:rPr>
      </w:pPr>
      <w:r>
        <w:rPr>
          <w:rFonts w:hint="eastAsia" w:ascii="黑体" w:hAnsi="黑体" w:eastAsia="黑体" w:cs="黑体"/>
          <w:sz w:val="52"/>
          <w:szCs w:val="52"/>
          <w:lang w:val="en-US" w:eastAsia="zh-CN"/>
        </w:rPr>
        <w:t>2024年武威市中职学校</w:t>
      </w:r>
      <w:r>
        <w:rPr>
          <w:rFonts w:hint="eastAsia" w:ascii="黑体" w:hAnsi="黑体" w:eastAsia="黑体" w:cs="黑体"/>
          <w:sz w:val="52"/>
          <w:szCs w:val="52"/>
        </w:rPr>
        <w:t>技能大赛</w:t>
      </w:r>
    </w:p>
    <w:p>
      <w:pPr>
        <w:spacing w:after="156" w:afterLines="50"/>
        <w:jc w:val="center"/>
        <w:outlineLvl w:val="0"/>
        <w:rPr>
          <w:rFonts w:hint="eastAsia" w:ascii="黑体" w:hAnsi="黑体" w:eastAsia="黑体" w:cs="黑体"/>
          <w:sz w:val="52"/>
          <w:szCs w:val="52"/>
        </w:rPr>
      </w:pPr>
      <w:r>
        <w:rPr>
          <w:rFonts w:hint="eastAsia" w:ascii="黑体" w:hAnsi="黑体" w:eastAsia="黑体" w:cs="黑体"/>
          <w:sz w:val="52"/>
          <w:szCs w:val="52"/>
        </w:rPr>
        <w:t>赛</w:t>
      </w:r>
      <w:bookmarkStart w:id="0" w:name="_GoBack"/>
      <w:bookmarkEnd w:id="0"/>
      <w:r>
        <w:rPr>
          <w:rFonts w:hint="eastAsia" w:ascii="黑体" w:hAnsi="黑体" w:eastAsia="黑体" w:cs="黑体"/>
          <w:sz w:val="52"/>
          <w:szCs w:val="52"/>
        </w:rPr>
        <w:t>项规程</w:t>
      </w:r>
    </w:p>
    <w:p>
      <w:pPr>
        <w:snapToGrid w:val="0"/>
        <w:spacing w:line="510" w:lineRule="atLeast"/>
        <w:jc w:val="center"/>
        <w:rPr>
          <w:rFonts w:hint="default" w:ascii="Times New Roman" w:hAnsi="Times New Roman" w:cs="Times New Roman"/>
        </w:rPr>
      </w:pPr>
    </w:p>
    <w:p>
      <w:pPr>
        <w:snapToGrid w:val="0"/>
        <w:spacing w:line="243" w:lineRule="atLeast"/>
        <w:jc w:val="center"/>
        <w:rPr>
          <w:rFonts w:hint="default" w:ascii="Times New Roman" w:hAnsi="Times New Roman" w:cs="Times New Roman"/>
        </w:rPr>
      </w:pPr>
    </w:p>
    <w:p>
      <w:pPr>
        <w:snapToGrid w:val="0"/>
        <w:spacing w:line="243" w:lineRule="atLeast"/>
        <w:jc w:val="center"/>
        <w:rPr>
          <w:rFonts w:hint="default" w:ascii="Times New Roman" w:hAnsi="Times New Roman" w:cs="Times New Roman"/>
        </w:rPr>
      </w:pPr>
    </w:p>
    <w:p>
      <w:pPr>
        <w:snapToGrid w:val="0"/>
        <w:spacing w:line="243" w:lineRule="atLeast"/>
        <w:jc w:val="center"/>
        <w:rPr>
          <w:rFonts w:hint="default" w:ascii="Times New Roman" w:hAnsi="Times New Roman" w:cs="Times New Roman"/>
        </w:rPr>
      </w:pPr>
    </w:p>
    <w:p>
      <w:pPr>
        <w:snapToGrid w:val="0"/>
        <w:spacing w:line="243" w:lineRule="atLeast"/>
        <w:jc w:val="center"/>
        <w:rPr>
          <w:rFonts w:hint="default" w:ascii="Times New Roman" w:hAnsi="Times New Roman" w:cs="Times New Roman"/>
        </w:rPr>
      </w:pPr>
    </w:p>
    <w:p>
      <w:pPr>
        <w:snapToGrid w:val="0"/>
        <w:spacing w:line="243" w:lineRule="atLeast"/>
        <w:jc w:val="center"/>
        <w:rPr>
          <w:rFonts w:hint="default" w:ascii="Times New Roman" w:hAnsi="Times New Roman" w:cs="Times New Roman"/>
        </w:rPr>
      </w:pPr>
    </w:p>
    <w:p>
      <w:pPr>
        <w:spacing w:line="800" w:lineRule="exact"/>
        <w:ind w:firstLine="640" w:firstLineChars="200"/>
        <w:rPr>
          <w:rFonts w:hint="default" w:ascii="Times New Roman" w:hAnsi="Times New Roman" w:eastAsia="黑体" w:cs="Times New Roman"/>
          <w:sz w:val="32"/>
          <w:u w:val="single"/>
        </w:rPr>
      </w:pPr>
      <w:r>
        <w:rPr>
          <w:rFonts w:hint="default" w:ascii="Times New Roman" w:hAnsi="Times New Roman" w:eastAsia="黑体" w:cs="Times New Roman"/>
          <w:sz w:val="32"/>
        </w:rPr>
        <w:t>赛项名称：</w:t>
      </w:r>
      <w:r>
        <w:rPr>
          <w:rFonts w:hint="default" w:ascii="Times New Roman" w:hAnsi="Times New Roman" w:eastAsia="黑体" w:cs="Times New Roman"/>
          <w:sz w:val="32"/>
          <w:u w:val="single"/>
        </w:rPr>
        <w:t xml:space="preserve">           网络建设与运维            </w:t>
      </w:r>
    </w:p>
    <w:p>
      <w:pPr>
        <w:spacing w:line="800" w:lineRule="exact"/>
        <w:ind w:left="2558" w:leftChars="304" w:hanging="1920" w:hangingChars="600"/>
        <w:rPr>
          <w:rFonts w:hint="default" w:ascii="Times New Roman" w:hAnsi="Times New Roman" w:eastAsia="黑体" w:cs="Times New Roman"/>
          <w:sz w:val="32"/>
          <w:szCs w:val="32"/>
          <w:u w:val="single"/>
        </w:rPr>
      </w:pPr>
      <w:r>
        <w:rPr>
          <w:rFonts w:hint="default" w:ascii="Times New Roman" w:hAnsi="Times New Roman" w:eastAsia="黑体" w:cs="Times New Roman"/>
          <w:sz w:val="32"/>
        </w:rPr>
        <w:t>英文名称：</w:t>
      </w:r>
      <w:r>
        <w:rPr>
          <w:rFonts w:hint="default" w:ascii="Times New Roman" w:hAnsi="Times New Roman" w:eastAsia="黑体" w:cs="Times New Roman"/>
          <w:sz w:val="32"/>
          <w:szCs w:val="32"/>
          <w:u w:val="single"/>
        </w:rPr>
        <w:t xml:space="preserve"> </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Network</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Construction and</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 xml:space="preserve"> </w:t>
      </w:r>
    </w:p>
    <w:p>
      <w:pPr>
        <w:spacing w:line="800" w:lineRule="exact"/>
        <w:ind w:left="2554" w:leftChars="1064" w:hanging="320" w:hangingChars="100"/>
        <w:rPr>
          <w:rFonts w:hint="default" w:ascii="Times New Roman" w:hAnsi="Times New Roman" w:eastAsia="黑体" w:cs="Times New Roman"/>
          <w:sz w:val="32"/>
          <w:szCs w:val="32"/>
          <w:u w:val="single"/>
          <w:lang w:val="en-US" w:eastAsia="zh-CN"/>
        </w:rPr>
      </w:pP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Operational</w:t>
      </w:r>
      <w:r>
        <w:rPr>
          <w:rFonts w:hint="default" w:ascii="Times New Roman" w:hAnsi="Times New Roman" w:eastAsia="黑体" w:cs="Times New Roman"/>
          <w:sz w:val="32"/>
          <w:szCs w:val="32"/>
          <w:u w:val="single"/>
          <w:lang w:val="en-US" w:eastAsia="zh-CN"/>
        </w:rPr>
        <w:t xml:space="preserve"> </w:t>
      </w:r>
      <w:r>
        <w:rPr>
          <w:rFonts w:hint="default" w:ascii="Times New Roman" w:hAnsi="Times New Roman" w:eastAsia="黑体" w:cs="Times New Roman"/>
          <w:sz w:val="32"/>
          <w:szCs w:val="32"/>
          <w:u w:val="single"/>
        </w:rPr>
        <w:t xml:space="preserve">Maintenance </w:t>
      </w:r>
      <w:r>
        <w:rPr>
          <w:rFonts w:hint="default" w:ascii="Times New Roman" w:hAnsi="Times New Roman" w:eastAsia="黑体" w:cs="Times New Roman"/>
          <w:sz w:val="32"/>
          <w:szCs w:val="32"/>
          <w:u w:val="single"/>
          <w:lang w:val="en-US" w:eastAsia="zh-CN"/>
        </w:rPr>
        <w:t xml:space="preserve">                        </w:t>
      </w:r>
    </w:p>
    <w:p>
      <w:pPr>
        <w:widowControl/>
        <w:jc w:val="left"/>
        <w:rPr>
          <w:rFonts w:hint="default" w:ascii="Times New Roman" w:hAnsi="Times New Roman" w:eastAsia="黑体" w:cs="Times New Roman"/>
          <w:sz w:val="24"/>
        </w:rPr>
      </w:pPr>
    </w:p>
    <w:p>
      <w:pPr>
        <w:widowControl/>
        <w:jc w:val="left"/>
        <w:rPr>
          <w:rFonts w:hint="default" w:ascii="Times New Roman" w:hAnsi="Times New Roman" w:eastAsia="黑体" w:cs="Times New Roman"/>
          <w:sz w:val="32"/>
        </w:rPr>
        <w:sectPr>
          <w:pgSz w:w="11906" w:h="16838"/>
          <w:pgMar w:top="1240" w:right="1800" w:bottom="1318" w:left="1800" w:header="851" w:footer="992" w:gutter="0"/>
          <w:cols w:space="720" w:num="1"/>
          <w:docGrid w:type="lines" w:linePitch="312" w:charSpace="0"/>
        </w:sectPr>
      </w:pPr>
    </w:p>
    <w:p>
      <w:pPr>
        <w:widowControl/>
        <w:jc w:val="left"/>
        <w:outlineLvl w:val="0"/>
        <w:rPr>
          <w:rFonts w:hint="default" w:ascii="Times New Roman" w:hAnsi="Times New Roman" w:eastAsia="黑体" w:cs="Times New Roman"/>
          <w:sz w:val="32"/>
          <w:szCs w:val="32"/>
        </w:rPr>
      </w:pPr>
      <w:r>
        <w:rPr>
          <w:rFonts w:hint="eastAsia" w:ascii="Times New Roman" w:hAnsi="Times New Roman" w:eastAsia="黑体" w:cs="Times New Roman"/>
          <w:b w:val="0"/>
          <w:bCs w:val="0"/>
          <w:sz w:val="32"/>
          <w:lang w:val="en-US" w:eastAsia="zh-CN"/>
        </w:rPr>
        <w:t>一</w:t>
      </w:r>
      <w:r>
        <w:rPr>
          <w:rFonts w:hint="default" w:ascii="Times New Roman" w:hAnsi="Times New Roman" w:eastAsia="黑体" w:cs="Times New Roman"/>
          <w:b w:val="0"/>
          <w:bCs w:val="0"/>
          <w:sz w:val="32"/>
        </w:rPr>
        <w:t>、竞赛目标</w:t>
      </w:r>
    </w:p>
    <w:p>
      <w:pPr>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竞赛旨在贯彻党中央、国务院对职业教育工作的决策部署，响应党的二十大提出的“加快建设网络强国、数字中国”的国家战略，适应国产自主且安全可控的新诉求和信息技术应用创新产业的发展，通过产教协同发展，培养中职网络建设与运维方向高素质网络技术人才，促进数字化转型升级，服务信息基础建设和国家战略。以立德树人为根本任务，推进“三全育人”、深化“三教改革”，发挥树旗、导航、定标、催化作用，培养德智体美劳全面发展网络技术相关专业的高素质劳动者和技术技能人才。</w:t>
      </w:r>
    </w:p>
    <w:p>
      <w:pPr>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竞赛内容围绕岗位要求，紧贴生产实际设计竞赛，考察学生综合能力，突出应变能力，强化职业素养，让教学、岗位、竞赛相互协同，提高网络建设与运维相关的核心专业能力，提高人才培养质量。</w:t>
      </w:r>
    </w:p>
    <w:p>
      <w:pPr>
        <w:keepNext w:val="0"/>
        <w:keepLines w:val="0"/>
        <w:pageBreakBefore w:val="0"/>
        <w:widowControl/>
        <w:kinsoku/>
        <w:wordWrap/>
        <w:overflowPunct/>
        <w:topLinePunct w:val="0"/>
        <w:autoSpaceDE/>
        <w:autoSpaceDN/>
        <w:bidi w:val="0"/>
        <w:adjustRightInd/>
        <w:snapToGrid/>
        <w:spacing w:before="156" w:beforeLines="50" w:after="156" w:afterLines="50"/>
        <w:jc w:val="left"/>
        <w:textAlignment w:val="auto"/>
        <w:outlineLvl w:val="0"/>
        <w:rPr>
          <w:rFonts w:hint="default" w:ascii="Times New Roman" w:hAnsi="Times New Roman" w:eastAsia="黑体" w:cs="Times New Roman"/>
          <w:b w:val="0"/>
          <w:bCs w:val="0"/>
          <w:sz w:val="32"/>
        </w:rPr>
      </w:pPr>
      <w:r>
        <w:rPr>
          <w:rFonts w:hint="eastAsia" w:ascii="Times New Roman" w:hAnsi="Times New Roman" w:eastAsia="黑体" w:cs="Times New Roman"/>
          <w:b w:val="0"/>
          <w:bCs w:val="0"/>
          <w:sz w:val="32"/>
          <w:lang w:val="en-US" w:eastAsia="zh-CN"/>
        </w:rPr>
        <w:t>二</w:t>
      </w:r>
      <w:r>
        <w:rPr>
          <w:rFonts w:hint="default" w:ascii="Times New Roman" w:hAnsi="Times New Roman" w:eastAsia="黑体" w:cs="Times New Roman"/>
          <w:b w:val="0"/>
          <w:bCs w:val="0"/>
          <w:sz w:val="32"/>
        </w:rPr>
        <w:t>、竞赛内容</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（一）竞赛主要内容</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本赛项设置网络建设与调试、服务搭建与运维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两</w:t>
      </w:r>
      <w:r>
        <w:rPr>
          <w:rFonts w:hint="default" w:ascii="Times New Roman" w:hAnsi="Times New Roman" w:eastAsia="仿宋_GB2312" w:cs="Times New Roman"/>
          <w:color w:val="000000" w:themeColor="text1"/>
          <w:sz w:val="28"/>
          <w:szCs w:val="28"/>
          <w14:textFill>
            <w14:solidFill>
              <w14:schemeClr w14:val="tx1"/>
            </w14:solidFill>
          </w14:textFill>
        </w:rPr>
        <w:t>个模块，竞赛内容包括：职业规范与素养、网络布线与施工、网络设备配置与调试、安全策略配置、Windows与Linux服务配置、网络运维等内容。各模块有机结合，比赛过程中，要求两名参赛选手按照题目合理分工，安排工作流程、合作完成网络建设与运维职业典型工作任务，检验选手专业核心能力与职业综合能力。</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（二）重点考查技能</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重点考查参赛选手的网络理论的掌握以及灵活运用的实战能力，具体包括：</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1．能够全面正确理解网络基本知识理论，考查选手的专业可持续发展能力。</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2．能够根据提供的竞赛要求，读懂文档需求，理解业务架构，实现项目应用，检验网络实施规划统筹的综合规划能力。</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3．能够完成线缆制作、合理划分网络地址，配置路由器、交换机</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防火墙等网络设备，实现网络的正常运行，考核综合布线和设备安装调试专业实践能力。</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4．能够根据业务需求和应用环境，安装部署各类服务器、数据库、存储等相关服务；并根据网络业务需求配置各种策略，以达到网络互联互通，考核多样化环境下系统部署和数据库应用的专业实践能力。</w:t>
      </w:r>
    </w:p>
    <w:tbl>
      <w:tblPr>
        <w:tblStyle w:val="24"/>
        <w:tblW w:w="88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8"/>
        <w:gridCol w:w="1494"/>
        <w:gridCol w:w="3118"/>
        <w:gridCol w:w="1559"/>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2752" w:type="dxa"/>
            <w:gridSpan w:val="2"/>
            <w:shd w:val="clear" w:color="auto" w:fill="auto"/>
            <w:vAlign w:val="bottom"/>
          </w:tcPr>
          <w:p>
            <w:pPr>
              <w:adjustRightInd w:val="0"/>
              <w:snapToGrid w:val="0"/>
              <w:spacing w:line="360" w:lineRule="auto"/>
              <w:ind w:right="208" w:rightChars="10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模块</w:t>
            </w:r>
          </w:p>
        </w:tc>
        <w:tc>
          <w:tcPr>
            <w:tcW w:w="3118" w:type="dxa"/>
            <w:shd w:val="clear" w:color="auto" w:fill="auto"/>
            <w:vAlign w:val="bottom"/>
          </w:tcPr>
          <w:p>
            <w:pPr>
              <w:adjustRightInd w:val="0"/>
              <w:snapToGrid w:val="0"/>
              <w:spacing w:line="360" w:lineRule="auto"/>
              <w:ind w:right="208" w:rightChars="10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主要内容</w:t>
            </w:r>
          </w:p>
        </w:tc>
        <w:tc>
          <w:tcPr>
            <w:tcW w:w="1559" w:type="dxa"/>
            <w:shd w:val="clear" w:color="auto" w:fill="auto"/>
            <w:vAlign w:val="bottom"/>
          </w:tcPr>
          <w:p>
            <w:pPr>
              <w:adjustRightInd w:val="0"/>
              <w:snapToGrid w:val="0"/>
              <w:spacing w:line="360" w:lineRule="auto"/>
              <w:ind w:right="208" w:rightChars="10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比赛时长</w:t>
            </w:r>
          </w:p>
        </w:tc>
        <w:tc>
          <w:tcPr>
            <w:tcW w:w="1412" w:type="dxa"/>
            <w:shd w:val="clear" w:color="auto" w:fill="auto"/>
            <w:vAlign w:val="bottom"/>
          </w:tcPr>
          <w:p>
            <w:pPr>
              <w:adjustRightInd w:val="0"/>
              <w:snapToGrid w:val="0"/>
              <w:spacing w:line="360" w:lineRule="auto"/>
              <w:ind w:right="208" w:rightChars="100"/>
              <w:jc w:val="center"/>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jc w:val="center"/>
        </w:trPr>
        <w:tc>
          <w:tcPr>
            <w:tcW w:w="1258" w:type="dxa"/>
            <w:shd w:val="clear" w:color="auto" w:fill="auto"/>
            <w:vAlign w:val="center"/>
          </w:tcPr>
          <w:p>
            <w:pPr>
              <w:adjustRightInd w:val="0"/>
              <w:snapToGrid w:val="0"/>
              <w:spacing w:line="360" w:lineRule="auto"/>
              <w:ind w:right="208" w:rightChars="100"/>
              <w:jc w:val="center"/>
              <w:rPr>
                <w:rFonts w:hint="eastAsia"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模块</w:t>
            </w:r>
            <w:r>
              <w:rPr>
                <w:rFonts w:hint="eastAsia" w:ascii="Times New Roman" w:hAnsi="Times New Roman" w:eastAsia="仿宋_GB2312" w:cs="Times New Roman"/>
                <w:b/>
                <w:sz w:val="28"/>
                <w:szCs w:val="28"/>
                <w:lang w:val="en-US" w:eastAsia="zh-CN"/>
              </w:rPr>
              <w:t>一</w:t>
            </w:r>
          </w:p>
        </w:tc>
        <w:tc>
          <w:tcPr>
            <w:tcW w:w="1494" w:type="dxa"/>
            <w:shd w:val="clear" w:color="auto" w:fill="auto"/>
            <w:vAlign w:val="center"/>
          </w:tcPr>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网络建设与调试</w:t>
            </w:r>
          </w:p>
        </w:tc>
        <w:tc>
          <w:tcPr>
            <w:tcW w:w="3118" w:type="dxa"/>
            <w:shd w:val="clear" w:color="auto" w:fill="auto"/>
            <w:vAlign w:val="center"/>
          </w:tcPr>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1</w:t>
            </w:r>
            <w:r>
              <w:rPr>
                <w:rFonts w:hint="default" w:ascii="Times New Roman" w:hAnsi="Times New Roman" w:eastAsia="仿宋_GB2312" w:cs="Times New Roman"/>
                <w:color w:val="000000" w:themeColor="text1"/>
                <w:sz w:val="24"/>
                <w14:textFill>
                  <w14:solidFill>
                    <w14:schemeClr w14:val="tx1"/>
                  </w14:solidFill>
                </w14:textFill>
              </w:rPr>
              <w:t>-1 工程统筹10%</w:t>
            </w:r>
          </w:p>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1</w:t>
            </w:r>
            <w:r>
              <w:rPr>
                <w:rFonts w:hint="default" w:ascii="Times New Roman" w:hAnsi="Times New Roman" w:eastAsia="仿宋_GB2312" w:cs="Times New Roman"/>
                <w:color w:val="000000" w:themeColor="text1"/>
                <w:sz w:val="24"/>
                <w14:textFill>
                  <w14:solidFill>
                    <w14:schemeClr w14:val="tx1"/>
                  </w14:solidFill>
                </w14:textFill>
              </w:rPr>
              <w:t>-2 交换配置</w:t>
            </w: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0%</w:t>
            </w:r>
          </w:p>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1</w:t>
            </w:r>
            <w:r>
              <w:rPr>
                <w:rFonts w:hint="default" w:ascii="Times New Roman" w:hAnsi="Times New Roman" w:eastAsia="仿宋_GB2312" w:cs="Times New Roman"/>
                <w:color w:val="000000" w:themeColor="text1"/>
                <w:sz w:val="24"/>
                <w14:textFill>
                  <w14:solidFill>
                    <w14:schemeClr w14:val="tx1"/>
                  </w14:solidFill>
                </w14:textFill>
              </w:rPr>
              <w:t>-3 路由调试</w:t>
            </w: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0%</w:t>
            </w:r>
          </w:p>
        </w:tc>
        <w:tc>
          <w:tcPr>
            <w:tcW w:w="1559" w:type="dxa"/>
            <w:vMerge w:val="restart"/>
            <w:shd w:val="clear" w:color="auto" w:fill="auto"/>
            <w:vAlign w:val="center"/>
          </w:tcPr>
          <w:p>
            <w:pPr>
              <w:snapToGrid w:val="0"/>
              <w:contextualSpacing/>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小时</w:t>
            </w:r>
          </w:p>
        </w:tc>
        <w:tc>
          <w:tcPr>
            <w:tcW w:w="1412" w:type="dxa"/>
            <w:shd w:val="clear" w:color="auto" w:fill="auto"/>
            <w:vAlign w:val="center"/>
          </w:tcPr>
          <w:p>
            <w:pPr>
              <w:snapToGrid w:val="0"/>
              <w:contextualSpacing/>
              <w:jc w:val="center"/>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5</w:t>
            </w:r>
            <w:r>
              <w:rPr>
                <w:rFonts w:hint="default" w:ascii="Times New Roman" w:hAnsi="Times New Roman" w:eastAsia="仿宋_GB2312" w:cs="Times New Roman"/>
                <w:color w:val="000000" w:themeColor="text1"/>
                <w:sz w:val="24"/>
                <w14:textFill>
                  <w14:solidFill>
                    <w14:schemeClr w14:val="tx1"/>
                  </w14:solidFill>
                </w14:textFill>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258" w:type="dxa"/>
            <w:shd w:val="clear" w:color="auto" w:fill="auto"/>
            <w:vAlign w:val="center"/>
          </w:tcPr>
          <w:p>
            <w:pPr>
              <w:adjustRightInd w:val="0"/>
              <w:snapToGrid w:val="0"/>
              <w:spacing w:line="360" w:lineRule="auto"/>
              <w:ind w:right="208" w:rightChars="100"/>
              <w:jc w:val="center"/>
              <w:rPr>
                <w:rFonts w:hint="eastAsia" w:ascii="Times New Roman" w:hAnsi="Times New Roman" w:eastAsia="仿宋_GB2312" w:cs="Times New Roman"/>
                <w:b/>
                <w:sz w:val="28"/>
                <w:szCs w:val="28"/>
                <w:lang w:eastAsia="zh-CN"/>
              </w:rPr>
            </w:pPr>
            <w:r>
              <w:rPr>
                <w:rFonts w:hint="default" w:ascii="Times New Roman" w:hAnsi="Times New Roman" w:eastAsia="仿宋_GB2312" w:cs="Times New Roman"/>
                <w:b/>
                <w:sz w:val="28"/>
                <w:szCs w:val="28"/>
              </w:rPr>
              <w:t>模块</w:t>
            </w:r>
            <w:r>
              <w:rPr>
                <w:rFonts w:hint="eastAsia" w:ascii="Times New Roman" w:hAnsi="Times New Roman" w:eastAsia="仿宋_GB2312" w:cs="Times New Roman"/>
                <w:b/>
                <w:sz w:val="28"/>
                <w:szCs w:val="28"/>
                <w:lang w:val="en-US" w:eastAsia="zh-CN"/>
              </w:rPr>
              <w:t>二</w:t>
            </w:r>
          </w:p>
        </w:tc>
        <w:tc>
          <w:tcPr>
            <w:tcW w:w="1494" w:type="dxa"/>
            <w:shd w:val="clear" w:color="auto" w:fill="auto"/>
            <w:vAlign w:val="center"/>
          </w:tcPr>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服务搭建与运维</w:t>
            </w:r>
          </w:p>
        </w:tc>
        <w:tc>
          <w:tcPr>
            <w:tcW w:w="3118" w:type="dxa"/>
            <w:shd w:val="clear" w:color="auto" w:fill="auto"/>
            <w:vAlign w:val="center"/>
          </w:tcPr>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w:t>
            </w:r>
            <w:r>
              <w:rPr>
                <w:rFonts w:hint="eastAsia" w:ascii="Times New Roman" w:hAnsi="Times New Roman" w:eastAsia="仿宋_GB2312" w:cs="Times New Roman"/>
                <w:color w:val="000000" w:themeColor="text1"/>
                <w:sz w:val="24"/>
                <w:lang w:val="en-US" w:eastAsia="zh-CN"/>
                <w14:textFill>
                  <w14:solidFill>
                    <w14:schemeClr w14:val="tx1"/>
                  </w14:solidFill>
                </w14:textFill>
              </w:rPr>
              <w:t>1</w:t>
            </w:r>
            <w:r>
              <w:rPr>
                <w:rFonts w:hint="default" w:ascii="Times New Roman" w:hAnsi="Times New Roman" w:eastAsia="仿宋_GB2312" w:cs="Times New Roman"/>
                <w:color w:val="000000" w:themeColor="text1"/>
                <w:sz w:val="24"/>
                <w14:textFill>
                  <w14:solidFill>
                    <w14:schemeClr w14:val="tx1"/>
                  </w14:solidFill>
                </w14:textFill>
              </w:rPr>
              <w:t>Windows服务配置</w:t>
            </w:r>
            <w:r>
              <w:rPr>
                <w:rFonts w:hint="eastAsia" w:ascii="Times New Roman" w:hAnsi="Times New Roman" w:eastAsia="仿宋_GB2312" w:cs="Times New Roman"/>
                <w:color w:val="000000" w:themeColor="text1"/>
                <w:sz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14:textFill>
                  <w14:solidFill>
                    <w14:schemeClr w14:val="tx1"/>
                  </w14:solidFill>
                </w14:textFill>
              </w:rPr>
              <w:t>%</w:t>
            </w:r>
          </w:p>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w:t>
            </w: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 xml:space="preserve"> Linux服务配置</w:t>
            </w:r>
            <w:r>
              <w:rPr>
                <w:rFonts w:hint="eastAsia" w:ascii="Times New Roman" w:hAnsi="Times New Roman" w:eastAsia="仿宋_GB2312" w:cs="Times New Roman"/>
                <w:color w:val="000000" w:themeColor="text1"/>
                <w:sz w:val="24"/>
                <w:lang w:val="en-US" w:eastAsia="zh-CN"/>
                <w14:textFill>
                  <w14:solidFill>
                    <w14:schemeClr w14:val="tx1"/>
                  </w14:solidFill>
                </w14:textFill>
              </w:rPr>
              <w:t>20</w:t>
            </w:r>
            <w:r>
              <w:rPr>
                <w:rFonts w:hint="default" w:ascii="Times New Roman" w:hAnsi="Times New Roman" w:eastAsia="仿宋_GB2312" w:cs="Times New Roman"/>
                <w:color w:val="000000" w:themeColor="text1"/>
                <w:sz w:val="24"/>
                <w14:textFill>
                  <w14:solidFill>
                    <w14:schemeClr w14:val="tx1"/>
                  </w14:solidFill>
                </w14:textFill>
              </w:rPr>
              <w:t>%</w:t>
            </w:r>
          </w:p>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r>
              <w:rPr>
                <w:rFonts w:hint="eastAsia" w:ascii="Times New Roman" w:hAnsi="Times New Roman" w:eastAsia="仿宋_GB2312" w:cs="Times New Roman"/>
                <w:color w:val="000000" w:themeColor="text1"/>
                <w:sz w:val="24"/>
                <w:lang w:val="en-US" w:eastAsia="zh-CN"/>
                <w14:textFill>
                  <w14:solidFill>
                    <w14:schemeClr w14:val="tx1"/>
                  </w14:solidFill>
                </w14:textFill>
              </w:rPr>
              <w:t>2</w:t>
            </w:r>
            <w:r>
              <w:rPr>
                <w:rFonts w:hint="default" w:ascii="Times New Roman" w:hAnsi="Times New Roman" w:eastAsia="仿宋_GB2312" w:cs="Times New Roman"/>
                <w:color w:val="000000" w:themeColor="text1"/>
                <w:sz w:val="24"/>
                <w14:textFill>
                  <w14:solidFill>
                    <w14:schemeClr w14:val="tx1"/>
                  </w14:solidFill>
                </w14:textFill>
              </w:rPr>
              <w:t>-</w:t>
            </w:r>
            <w:r>
              <w:rPr>
                <w:rFonts w:hint="eastAsia" w:ascii="Times New Roman" w:hAnsi="Times New Roman" w:eastAsia="仿宋_GB2312" w:cs="Times New Roman"/>
                <w:color w:val="000000" w:themeColor="text1"/>
                <w:sz w:val="24"/>
                <w:lang w:val="en-US" w:eastAsia="zh-CN"/>
                <w14:textFill>
                  <w14:solidFill>
                    <w14:schemeClr w14:val="tx1"/>
                  </w14:solidFill>
                </w14:textFill>
              </w:rPr>
              <w:t>3</w:t>
            </w:r>
            <w:r>
              <w:rPr>
                <w:rFonts w:hint="default" w:ascii="Times New Roman" w:hAnsi="Times New Roman" w:eastAsia="仿宋_GB2312" w:cs="Times New Roman"/>
                <w:color w:val="000000" w:themeColor="text1"/>
                <w:sz w:val="24"/>
                <w14:textFill>
                  <w14:solidFill>
                    <w14:schemeClr w14:val="tx1"/>
                  </w14:solidFill>
                </w14:textFill>
              </w:rPr>
              <w:t xml:space="preserve"> 网络运维 10%</w:t>
            </w:r>
          </w:p>
        </w:tc>
        <w:tc>
          <w:tcPr>
            <w:tcW w:w="1559" w:type="dxa"/>
            <w:vMerge w:val="continue"/>
            <w:shd w:val="clear" w:color="auto" w:fill="auto"/>
            <w:vAlign w:val="center"/>
          </w:tcPr>
          <w:p>
            <w:pPr>
              <w:snapToGrid w:val="0"/>
              <w:contextualSpacing/>
              <w:rPr>
                <w:rFonts w:hint="default" w:ascii="Times New Roman" w:hAnsi="Times New Roman" w:eastAsia="仿宋_GB2312" w:cs="Times New Roman"/>
                <w:color w:val="000000" w:themeColor="text1"/>
                <w:sz w:val="24"/>
                <w14:textFill>
                  <w14:solidFill>
                    <w14:schemeClr w14:val="tx1"/>
                  </w14:solidFill>
                </w14:textFill>
              </w:rPr>
            </w:pPr>
          </w:p>
        </w:tc>
        <w:tc>
          <w:tcPr>
            <w:tcW w:w="1412" w:type="dxa"/>
            <w:shd w:val="clear" w:color="auto" w:fill="auto"/>
            <w:vAlign w:val="center"/>
          </w:tcPr>
          <w:p>
            <w:pPr>
              <w:snapToGrid w:val="0"/>
              <w:contextualSpacing/>
              <w:jc w:val="center"/>
              <w:rPr>
                <w:rFonts w:hint="default" w:ascii="Times New Roman" w:hAnsi="Times New Roman" w:eastAsia="仿宋_GB2312" w:cs="Times New Roman"/>
                <w:color w:val="000000" w:themeColor="text1"/>
                <w:sz w:val="24"/>
                <w14:textFill>
                  <w14:solidFill>
                    <w14:schemeClr w14:val="tx1"/>
                  </w14:solidFill>
                </w14:textFill>
              </w:rPr>
            </w:pPr>
            <w:r>
              <w:rPr>
                <w:rFonts w:hint="default" w:ascii="Times New Roman" w:hAnsi="Times New Roman" w:eastAsia="仿宋_GB2312" w:cs="Times New Roman"/>
                <w:color w:val="000000" w:themeColor="text1"/>
                <w:sz w:val="24"/>
                <w14:textFill>
                  <w14:solidFill>
                    <w14:schemeClr w14:val="tx1"/>
                  </w14:solidFill>
                </w14:textFill>
              </w:rPr>
              <w:t>50%</w:t>
            </w:r>
          </w:p>
        </w:tc>
      </w:tr>
    </w:tbl>
    <w:p>
      <w:pPr>
        <w:rPr>
          <w:rFonts w:hint="default" w:ascii="Times New Roman" w:hAnsi="Times New Roman" w:eastAsia="仿宋" w:cs="Times New Roman"/>
        </w:rPr>
        <w:sectPr>
          <w:footerReference r:id="rId3" w:type="default"/>
          <w:pgSz w:w="11906" w:h="16838"/>
          <w:pgMar w:top="1440" w:right="1797" w:bottom="1440" w:left="1797" w:header="851" w:footer="992" w:gutter="0"/>
          <w:cols w:space="720" w:num="1"/>
          <w:docGrid w:type="linesAndChars" w:linePitch="310" w:charSpace="-451"/>
        </w:sectPr>
      </w:pPr>
    </w:p>
    <w:p>
      <w:pPr>
        <w:keepNext w:val="0"/>
        <w:keepLines w:val="0"/>
        <w:pageBreakBefore w:val="0"/>
        <w:widowControl/>
        <w:kinsoku/>
        <w:wordWrap/>
        <w:overflowPunct/>
        <w:topLinePunct w:val="0"/>
        <w:autoSpaceDE/>
        <w:autoSpaceDN/>
        <w:bidi w:val="0"/>
        <w:adjustRightInd/>
        <w:snapToGrid/>
        <w:spacing w:before="156" w:beforeLines="50" w:after="156" w:afterLines="50"/>
        <w:jc w:val="left"/>
        <w:textAlignment w:val="auto"/>
        <w:outlineLvl w:val="0"/>
        <w:rPr>
          <w:rFonts w:hint="default" w:ascii="Times New Roman" w:hAnsi="Times New Roman" w:eastAsia="黑体" w:cs="Times New Roman"/>
          <w:b w:val="0"/>
          <w:bCs w:val="0"/>
          <w:sz w:val="32"/>
        </w:rPr>
      </w:pPr>
      <w:r>
        <w:rPr>
          <w:rFonts w:hint="eastAsia" w:ascii="Times New Roman" w:hAnsi="Times New Roman" w:eastAsia="黑体" w:cs="Times New Roman"/>
          <w:b w:val="0"/>
          <w:bCs w:val="0"/>
          <w:sz w:val="32"/>
          <w:lang w:val="en-US" w:eastAsia="zh-CN"/>
        </w:rPr>
        <w:t>三</w:t>
      </w:r>
      <w:r>
        <w:rPr>
          <w:rFonts w:hint="default" w:ascii="Times New Roman" w:hAnsi="Times New Roman" w:eastAsia="黑体" w:cs="Times New Roman"/>
          <w:b w:val="0"/>
          <w:bCs w:val="0"/>
          <w:sz w:val="32"/>
        </w:rPr>
        <w:t>、竞赛方式</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（一）竞赛形式</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竞赛采取单场次，线下比赛方式进行。</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模块</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一</w:t>
      </w:r>
      <w:r>
        <w:rPr>
          <w:rFonts w:hint="default" w:ascii="Times New Roman" w:hAnsi="Times New Roman" w:eastAsia="仿宋_GB2312" w:cs="Times New Roman"/>
          <w:color w:val="000000" w:themeColor="text1"/>
          <w:sz w:val="28"/>
          <w:szCs w:val="28"/>
          <w14:textFill>
            <w14:solidFill>
              <w14:schemeClr w14:val="tx1"/>
            </w14:solidFill>
          </w14:textFill>
        </w:rPr>
        <w:t>网络建设与调试和模块</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二</w:t>
      </w:r>
      <w:r>
        <w:rPr>
          <w:rFonts w:hint="default" w:ascii="Times New Roman" w:hAnsi="Times New Roman" w:eastAsia="仿宋_GB2312" w:cs="Times New Roman"/>
          <w:color w:val="000000" w:themeColor="text1"/>
          <w:sz w:val="28"/>
          <w:szCs w:val="28"/>
          <w14:textFill>
            <w14:solidFill>
              <w14:schemeClr w14:val="tx1"/>
            </w14:solidFill>
          </w14:textFill>
        </w:rPr>
        <w:t>服务搭建与运维：两名参赛选手在本队竞赛场地内团队合作开展项目实施，协作完成工程统筹规划、综合布线实施测试、交换机配置、路由器调试、无线设备部署、网络安全防护；Windows和Linux服务配置、网络运维等，项目实施完毕，需保证施工现场整理整顿整洁，工具归位，整个施工过程需保证无安全事故发生。</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（二）组队方式</w:t>
      </w:r>
    </w:p>
    <w:p>
      <w:pPr>
        <w:spacing w:line="360" w:lineRule="auto"/>
        <w:ind w:firstLine="556" w:firstLineChars="2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竞赛以团队赛组队方式进行，每支参赛队由2名选手组成，须为同校在籍学生，其中队长1名，每队限报2名指导教师。</w:t>
      </w:r>
    </w:p>
    <w:p>
      <w:pPr>
        <w:keepNext w:val="0"/>
        <w:keepLines w:val="0"/>
        <w:pageBreakBefore w:val="0"/>
        <w:widowControl/>
        <w:kinsoku/>
        <w:wordWrap/>
        <w:overflowPunct/>
        <w:topLinePunct w:val="0"/>
        <w:autoSpaceDE/>
        <w:autoSpaceDN/>
        <w:bidi w:val="0"/>
        <w:adjustRightInd/>
        <w:snapToGrid/>
        <w:spacing w:before="156" w:beforeLines="50" w:after="156" w:afterLines="50"/>
        <w:jc w:val="left"/>
        <w:textAlignment w:val="auto"/>
        <w:outlineLvl w:val="0"/>
        <w:rPr>
          <w:rFonts w:hint="default" w:ascii="Times New Roman" w:hAnsi="Times New Roman" w:eastAsia="黑体" w:cs="Times New Roman"/>
          <w:b w:val="0"/>
          <w:bCs w:val="0"/>
          <w:sz w:val="32"/>
        </w:rPr>
      </w:pPr>
      <w:r>
        <w:rPr>
          <w:rFonts w:hint="eastAsia" w:ascii="Times New Roman" w:hAnsi="Times New Roman" w:eastAsia="黑体" w:cs="Times New Roman"/>
          <w:b w:val="0"/>
          <w:bCs w:val="0"/>
          <w:sz w:val="32"/>
          <w:lang w:val="en-US" w:eastAsia="zh-CN"/>
        </w:rPr>
        <w:t>四</w:t>
      </w:r>
      <w:r>
        <w:rPr>
          <w:rFonts w:hint="default" w:ascii="Times New Roman" w:hAnsi="Times New Roman" w:eastAsia="黑体" w:cs="Times New Roman"/>
          <w:b w:val="0"/>
          <w:bCs w:val="0"/>
          <w:sz w:val="32"/>
        </w:rPr>
        <w:t>、竞赛流程</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w:t>
      </w:r>
      <w:r>
        <w:rPr>
          <w:rFonts w:hint="eastAsia" w:ascii="Times New Roman" w:hAnsi="Times New Roman" w:eastAsia="楷体" w:cs="Times New Roman"/>
          <w:b/>
          <w:bCs/>
          <w:color w:val="000000" w:themeColor="text1"/>
          <w:sz w:val="28"/>
          <w:szCs w:val="28"/>
          <w:lang w:val="en-US" w:eastAsia="zh-CN"/>
          <w14:textFill>
            <w14:solidFill>
              <w14:schemeClr w14:val="tx1"/>
            </w14:solidFill>
          </w14:textFill>
        </w:rPr>
        <w:t>一</w:t>
      </w:r>
      <w:r>
        <w:rPr>
          <w:rFonts w:hint="default" w:ascii="Times New Roman" w:hAnsi="Times New Roman" w:eastAsia="楷体" w:cs="Times New Roman"/>
          <w:b/>
          <w:bCs/>
          <w:color w:val="000000" w:themeColor="text1"/>
          <w:sz w:val="28"/>
          <w:szCs w:val="28"/>
          <w14:textFill>
            <w14:solidFill>
              <w14:schemeClr w14:val="tx1"/>
            </w14:solidFill>
          </w14:textFill>
        </w:rPr>
        <w:t>）比赛流程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drawing>
          <wp:inline distT="0" distB="0" distL="0" distR="0">
            <wp:extent cx="5212715" cy="4389755"/>
            <wp:effectExtent l="0" t="0" r="0" b="0"/>
            <wp:docPr id="1784186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86264"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12715" cy="4389755"/>
                    </a:xfrm>
                    <a:prstGeom prst="rect">
                      <a:avLst/>
                    </a:prstGeom>
                    <a:noFill/>
                  </pic:spPr>
                </pic:pic>
              </a:graphicData>
            </a:graphic>
          </wp:inline>
        </w:drawing>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w:t>
      </w:r>
      <w:r>
        <w:rPr>
          <w:rFonts w:hint="eastAsia" w:ascii="Times New Roman" w:hAnsi="Times New Roman" w:eastAsia="楷体" w:cs="Times New Roman"/>
          <w:b/>
          <w:bCs/>
          <w:color w:val="000000" w:themeColor="text1"/>
          <w:sz w:val="28"/>
          <w:szCs w:val="28"/>
          <w:lang w:val="en-US" w:eastAsia="zh-CN"/>
          <w14:textFill>
            <w14:solidFill>
              <w14:schemeClr w14:val="tx1"/>
            </w14:solidFill>
          </w14:textFill>
        </w:rPr>
        <w:t>二</w:t>
      </w:r>
      <w:r>
        <w:rPr>
          <w:rFonts w:hint="default" w:ascii="Times New Roman" w:hAnsi="Times New Roman" w:eastAsia="楷体" w:cs="Times New Roman"/>
          <w:b/>
          <w:bCs/>
          <w:color w:val="000000" w:themeColor="text1"/>
          <w:sz w:val="28"/>
          <w:szCs w:val="28"/>
          <w14:textFill>
            <w14:solidFill>
              <w14:schemeClr w14:val="tx1"/>
            </w14:solidFill>
          </w14:textFill>
        </w:rPr>
        <w:t>）竞技过程</w:t>
      </w:r>
    </w:p>
    <w:p>
      <w:pPr>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赛前准备：选手抽签加密入场，参赛队就位并领取比赛任务，完成比赛设备、线缆和工具检查等准备工作。</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正式比赛：参赛选手需按题目要求配合完成IP地址规划、综合布线、设备连接、配置与测试网络设备、安装配置操作系统、部署安全策略、网络运维等网络建设与运维整体工作项目实施。操作顺序和分工，由参赛队自行商定。</w:t>
      </w:r>
    </w:p>
    <w:p>
      <w:pPr>
        <w:keepNext w:val="0"/>
        <w:keepLines w:val="0"/>
        <w:pageBreakBefore w:val="0"/>
        <w:widowControl/>
        <w:kinsoku/>
        <w:wordWrap/>
        <w:overflowPunct/>
        <w:topLinePunct w:val="0"/>
        <w:autoSpaceDE/>
        <w:autoSpaceDN/>
        <w:bidi w:val="0"/>
        <w:adjustRightInd/>
        <w:snapToGrid/>
        <w:spacing w:before="156" w:beforeLines="50" w:after="156" w:afterLines="50"/>
        <w:jc w:val="left"/>
        <w:textAlignment w:val="auto"/>
        <w:outlineLvl w:val="0"/>
        <w:rPr>
          <w:rFonts w:hint="default" w:ascii="Times New Roman" w:hAnsi="Times New Roman" w:eastAsia="黑体" w:cs="Times New Roman"/>
          <w:b w:val="0"/>
          <w:bCs w:val="0"/>
          <w:sz w:val="32"/>
        </w:rPr>
      </w:pPr>
      <w:r>
        <w:rPr>
          <w:rFonts w:hint="eastAsia" w:ascii="Times New Roman" w:hAnsi="Times New Roman" w:eastAsia="黑体" w:cs="Times New Roman"/>
          <w:b w:val="0"/>
          <w:bCs w:val="0"/>
          <w:sz w:val="32"/>
          <w:lang w:val="en-US" w:eastAsia="zh-CN"/>
        </w:rPr>
        <w:t>五</w:t>
      </w:r>
      <w:r>
        <w:rPr>
          <w:rFonts w:hint="default" w:ascii="Times New Roman" w:hAnsi="Times New Roman" w:eastAsia="黑体" w:cs="Times New Roman"/>
          <w:b w:val="0"/>
          <w:bCs w:val="0"/>
          <w:sz w:val="32"/>
        </w:rPr>
        <w:t>、竞赛规则</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（一）选手报名资格</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每参赛队由2名参赛选手组成，须为2023年度</w:t>
      </w:r>
      <w:r>
        <w:rPr>
          <w:rFonts w:hint="eastAsia" w:ascii="Times New Roman" w:hAnsi="Times New Roman" w:eastAsia="仿宋_GB2312" w:cs="Times New Roman"/>
          <w:sz w:val="28"/>
          <w:szCs w:val="28"/>
          <w:lang w:val="en-US" w:eastAsia="zh-CN"/>
        </w:rPr>
        <w:t>我校</w:t>
      </w:r>
      <w:r>
        <w:rPr>
          <w:rFonts w:hint="default" w:ascii="Times New Roman" w:hAnsi="Times New Roman" w:eastAsia="仿宋_GB2312" w:cs="Times New Roman"/>
          <w:sz w:val="28"/>
          <w:szCs w:val="28"/>
        </w:rPr>
        <w:t>全日制在籍学生。年龄须不超过21周岁(年龄计算的截止时间以2023年5月1日为准）。</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（二）参赛要求</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参赛选手应严格遵守赛场纪律，服从指挥，着参赛服装、仪表端庄整洁，自觉遵守赛场纪律，服从赛项执委会的指挥和安排，爱护大赛场地的设备和器材，严格遵守安全操作流程，防止发生安全事故。竞赛场上不得以任何方式泄露应该保密信息。选手必须佩带参赛证参赛，比赛场地通过加密抽签决定，粘贴参赛号于左臂，对号入座。</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参赛队在赛前领取比赛任务并进入竞赛工位，比赛正式开始后方可打开显示器，进行与比赛任务相关的操作。</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现场裁判引导参赛选手检查比赛环境，宣读《竞赛须知》。</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参赛队自行决定选手分工、工作程序。</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比赛过程中，选手须严格遵守操作规程，确保人身及设备安全，并接受裁判员的指示，如遇问题须举手提问。若因选手原因造成设备故障或损坏而无法继续比赛的，裁判长有权决定终止该队比赛；若非因选手个人原因造成设备故障的，必须经裁判确认，安排技术人员予以解决，故障中断时间不计比赛时长；比赛结束前，需打扫整理赛位，保持整洁有序。</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当听到比赛结束命令时，选手应立即停止所有操作，关闭显示器，不得以任何理由拖延比赛时间。比赛结束后，裁判员与参赛队队长要确认已成功提交竞赛要求的配置文件及保存位置，确认后离场。</w:t>
      </w:r>
    </w:p>
    <w:p>
      <w:pPr>
        <w:adjustRightInd w:val="0"/>
        <w:snapToGrid w:val="0"/>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竞赛所需硬软件和辅助工具统一提供，参赛队不得使用自带的任何有存储和网络功能的电子设备，离场时，不得将与比赛有关的物品带离现场。</w:t>
      </w:r>
    </w:p>
    <w:p>
      <w:pPr>
        <w:keepNext w:val="0"/>
        <w:keepLines w:val="0"/>
        <w:pageBreakBefore w:val="0"/>
        <w:widowControl/>
        <w:kinsoku/>
        <w:wordWrap/>
        <w:overflowPunct/>
        <w:topLinePunct w:val="0"/>
        <w:autoSpaceDE/>
        <w:autoSpaceDN/>
        <w:bidi w:val="0"/>
        <w:adjustRightInd/>
        <w:snapToGrid/>
        <w:spacing w:before="156" w:beforeLines="50" w:after="156" w:afterLines="50"/>
        <w:jc w:val="left"/>
        <w:textAlignment w:val="auto"/>
        <w:outlineLvl w:val="0"/>
        <w:rPr>
          <w:rFonts w:hint="default" w:ascii="Times New Roman" w:hAnsi="Times New Roman" w:eastAsia="黑体" w:cs="Times New Roman"/>
          <w:b w:val="0"/>
          <w:bCs w:val="0"/>
          <w:sz w:val="32"/>
        </w:rPr>
      </w:pPr>
      <w:r>
        <w:rPr>
          <w:rFonts w:hint="eastAsia" w:ascii="Times New Roman" w:hAnsi="Times New Roman" w:eastAsia="黑体" w:cs="Times New Roman"/>
          <w:b w:val="0"/>
          <w:bCs w:val="0"/>
          <w:sz w:val="32"/>
          <w:lang w:val="en-US" w:eastAsia="zh-CN"/>
        </w:rPr>
        <w:t>六</w:t>
      </w:r>
      <w:r>
        <w:rPr>
          <w:rFonts w:hint="default" w:ascii="Times New Roman" w:hAnsi="Times New Roman" w:eastAsia="黑体" w:cs="Times New Roman"/>
          <w:b w:val="0"/>
          <w:bCs w:val="0"/>
          <w:sz w:val="32"/>
        </w:rPr>
        <w:t>、技术规范</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（一）教学标准</w:t>
      </w:r>
    </w:p>
    <w:p>
      <w:pPr>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中等职业学校电子与信息大类相关专业国家教学标准。</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（二）行业标准</w:t>
      </w:r>
    </w:p>
    <w:tbl>
      <w:tblPr>
        <w:tblStyle w:val="24"/>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181"/>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shd w:val="clear" w:color="auto" w:fill="D5DCE4"/>
            <w:vAlign w:val="center"/>
          </w:tcPr>
          <w:p>
            <w:pPr>
              <w:adjustRightInd w:val="0"/>
              <w:spacing w:line="360" w:lineRule="auto"/>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序号</w:t>
            </w:r>
          </w:p>
        </w:tc>
        <w:tc>
          <w:tcPr>
            <w:tcW w:w="2181" w:type="dxa"/>
            <w:shd w:val="clear" w:color="auto" w:fill="D5DCE4"/>
            <w:vAlign w:val="center"/>
          </w:tcPr>
          <w:p>
            <w:pPr>
              <w:adjustRightInd w:val="0"/>
              <w:spacing w:line="360" w:lineRule="auto"/>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标准号</w:t>
            </w:r>
          </w:p>
        </w:tc>
        <w:tc>
          <w:tcPr>
            <w:tcW w:w="5316" w:type="dxa"/>
            <w:shd w:val="clear" w:color="auto" w:fill="D5DCE4"/>
            <w:vAlign w:val="center"/>
          </w:tcPr>
          <w:p>
            <w:pPr>
              <w:adjustRightInd w:val="0"/>
              <w:spacing w:line="360" w:lineRule="auto"/>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2181"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GB50311-2016</w:t>
            </w:r>
          </w:p>
        </w:tc>
        <w:tc>
          <w:tcPr>
            <w:tcW w:w="5316"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《综合布线系统工程设计规范》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2181"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GB50312-2016</w:t>
            </w:r>
          </w:p>
        </w:tc>
        <w:tc>
          <w:tcPr>
            <w:tcW w:w="5316"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《综合布线系统工程验收规范》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2181"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GB50174-2017</w:t>
            </w:r>
          </w:p>
        </w:tc>
        <w:tc>
          <w:tcPr>
            <w:tcW w:w="5316"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《电子信息系统机房设计规范》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2181"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GB21671-2018</w:t>
            </w:r>
          </w:p>
        </w:tc>
        <w:tc>
          <w:tcPr>
            <w:tcW w:w="5316"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《基于以太网技术的局域网系统验收测评规范》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2181"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GB50348-2018</w:t>
            </w:r>
          </w:p>
        </w:tc>
        <w:tc>
          <w:tcPr>
            <w:tcW w:w="5316"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《安全防范工程技术标准》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2181"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GB/T18729-2011</w:t>
            </w:r>
          </w:p>
        </w:tc>
        <w:tc>
          <w:tcPr>
            <w:tcW w:w="5316"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《基于网络的企业信息集成规范》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20"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2181"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GB/T22239-2018</w:t>
            </w:r>
          </w:p>
        </w:tc>
        <w:tc>
          <w:tcPr>
            <w:tcW w:w="5316" w:type="dxa"/>
            <w:vAlign w:val="center"/>
          </w:tcPr>
          <w:p>
            <w:pPr>
              <w:spacing w:line="360" w:lineRule="auto"/>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《信息系统安全等级保护基本要求》</w:t>
            </w:r>
          </w:p>
        </w:tc>
      </w:tr>
    </w:tbl>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（三）职业技能等级标准</w:t>
      </w:r>
    </w:p>
    <w:p>
      <w:pPr>
        <w:spacing w:line="360" w:lineRule="auto"/>
        <w:ind w:firstLine="556"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对接“1+X证书”等国家职业技能等级证书初中高的技能要求。</w:t>
      </w:r>
    </w:p>
    <w:p>
      <w:pPr>
        <w:spacing w:line="360" w:lineRule="auto"/>
        <w:ind w:firstLine="556"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（四）主要竞赛知识点和技能点</w:t>
      </w:r>
    </w:p>
    <w:tbl>
      <w:tblPr>
        <w:tblStyle w:val="24"/>
        <w:tblW w:w="81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1593"/>
        <w:gridCol w:w="1206"/>
        <w:gridCol w:w="4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blHeader/>
          <w:jc w:val="center"/>
        </w:trPr>
        <w:tc>
          <w:tcPr>
            <w:tcW w:w="725" w:type="dxa"/>
            <w:tcBorders>
              <w:top w:val="single" w:color="000000" w:sz="4" w:space="0"/>
              <w:left w:val="single" w:color="000000" w:sz="4" w:space="0"/>
              <w:bottom w:val="single" w:color="000000" w:sz="4" w:space="0"/>
              <w:right w:val="single" w:color="000000" w:sz="4" w:space="0"/>
            </w:tcBorders>
            <w:shd w:val="clear" w:color="auto" w:fill="D5DCE4"/>
            <w:vAlign w:val="center"/>
          </w:tcPr>
          <w:p>
            <w:pPr>
              <w:shd w:val="clear" w:color="auto" w:fill="D5DCE4"/>
              <w:spacing w:line="360" w:lineRule="auto"/>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序号</w:t>
            </w:r>
          </w:p>
        </w:tc>
        <w:tc>
          <w:tcPr>
            <w:tcW w:w="1593" w:type="dxa"/>
            <w:tcBorders>
              <w:top w:val="single" w:color="000000" w:sz="4" w:space="0"/>
              <w:left w:val="single" w:color="000000" w:sz="4" w:space="0"/>
              <w:bottom w:val="single" w:color="000000" w:sz="4" w:space="0"/>
              <w:right w:val="single" w:color="000000" w:sz="4" w:space="0"/>
            </w:tcBorders>
            <w:shd w:val="clear" w:color="auto" w:fill="D5DCE4"/>
            <w:vAlign w:val="center"/>
          </w:tcPr>
          <w:p>
            <w:pPr>
              <w:shd w:val="clear" w:color="auto" w:fill="D5DCE4"/>
              <w:spacing w:line="360" w:lineRule="auto"/>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内容模块</w:t>
            </w:r>
          </w:p>
        </w:tc>
        <w:tc>
          <w:tcPr>
            <w:tcW w:w="1206" w:type="dxa"/>
            <w:tcBorders>
              <w:top w:val="single" w:color="000000" w:sz="4" w:space="0"/>
              <w:left w:val="single" w:color="000000" w:sz="4" w:space="0"/>
              <w:bottom w:val="single" w:color="000000" w:sz="4" w:space="0"/>
              <w:right w:val="single" w:color="000000" w:sz="4" w:space="0"/>
            </w:tcBorders>
            <w:shd w:val="clear" w:color="auto" w:fill="D5DCE4"/>
            <w:vAlign w:val="center"/>
          </w:tcPr>
          <w:p>
            <w:pPr>
              <w:shd w:val="clear" w:color="auto" w:fill="D5DCE4"/>
              <w:spacing w:line="360" w:lineRule="auto"/>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子模块</w:t>
            </w:r>
          </w:p>
        </w:tc>
        <w:tc>
          <w:tcPr>
            <w:tcW w:w="4654" w:type="dxa"/>
            <w:tcBorders>
              <w:top w:val="single" w:color="000000" w:sz="4" w:space="0"/>
              <w:left w:val="single" w:color="000000" w:sz="4" w:space="0"/>
              <w:bottom w:val="single" w:color="000000" w:sz="4" w:space="0"/>
              <w:right w:val="single" w:color="000000" w:sz="4" w:space="0"/>
            </w:tcBorders>
            <w:shd w:val="clear" w:color="auto" w:fill="D5DCE4"/>
            <w:vAlign w:val="center"/>
          </w:tcPr>
          <w:p>
            <w:pPr>
              <w:shd w:val="clear" w:color="auto" w:fill="D5DCE4"/>
              <w:spacing w:line="360" w:lineRule="auto"/>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具体内容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jc w:val="center"/>
        </w:trPr>
        <w:tc>
          <w:tcPr>
            <w:tcW w:w="725" w:type="dxa"/>
            <w:vMerge w:val="restart"/>
            <w:tcBorders>
              <w:top w:val="single" w:color="000000" w:sz="4" w:space="0"/>
              <w:left w:val="single" w:color="000000" w:sz="4" w:space="0"/>
              <w:right w:val="single" w:color="000000" w:sz="4" w:space="0"/>
            </w:tcBorders>
            <w:vAlign w:val="center"/>
          </w:tcPr>
          <w:p>
            <w:pPr>
              <w:snapToGrid w:val="0"/>
              <w:spacing w:line="360" w:lineRule="auto"/>
              <w:contextualSpacing/>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-1</w:t>
            </w:r>
          </w:p>
        </w:tc>
        <w:tc>
          <w:tcPr>
            <w:tcW w:w="1593" w:type="dxa"/>
            <w:vMerge w:val="restart"/>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模块二：网络建设与调试</w:t>
            </w:r>
          </w:p>
        </w:tc>
        <w:tc>
          <w:tcPr>
            <w:tcW w:w="1206" w:type="dxa"/>
            <w:vMerge w:val="restart"/>
            <w:tcBorders>
              <w:top w:val="single" w:color="000000" w:sz="4" w:space="0"/>
              <w:left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综合布线和IP地址划</w:t>
            </w:r>
          </w:p>
        </w:tc>
        <w:tc>
          <w:tcPr>
            <w:tcW w:w="4654"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网络布线、设备连接、端口标识、物理连通性检测、链路检测、端口检测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25" w:type="dxa"/>
            <w:vMerge w:val="continue"/>
            <w:tcBorders>
              <w:left w:val="single" w:color="000000" w:sz="4" w:space="0"/>
              <w:bottom w:val="single" w:color="auto" w:sz="4" w:space="0"/>
              <w:right w:val="single" w:color="000000" w:sz="4" w:space="0"/>
            </w:tcBorders>
            <w:vAlign w:val="center"/>
          </w:tcPr>
          <w:p>
            <w:pPr>
              <w:snapToGrid w:val="0"/>
              <w:spacing w:line="360" w:lineRule="auto"/>
              <w:contextualSpacing/>
              <w:jc w:val="center"/>
              <w:rPr>
                <w:rFonts w:hint="default" w:ascii="Times New Roman" w:hAnsi="Times New Roman" w:eastAsia="仿宋_GB2312" w:cs="Times New Roman"/>
                <w:sz w:val="24"/>
              </w:rPr>
            </w:pPr>
          </w:p>
        </w:tc>
        <w:tc>
          <w:tcPr>
            <w:tcW w:w="15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c>
          <w:tcPr>
            <w:tcW w:w="1206" w:type="dxa"/>
            <w:vMerge w:val="continue"/>
            <w:tcBorders>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c>
          <w:tcPr>
            <w:tcW w:w="4654"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VLSM、CIDR等地址划分并实施网络配置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725" w:type="dxa"/>
            <w:tcBorders>
              <w:top w:val="single" w:color="auto" w:sz="4" w:space="0"/>
              <w:left w:val="single" w:color="000000" w:sz="4" w:space="0"/>
              <w:bottom w:val="single" w:color="auto" w:sz="4" w:space="0"/>
              <w:right w:val="single" w:color="000000" w:sz="4" w:space="0"/>
            </w:tcBorders>
            <w:vAlign w:val="center"/>
          </w:tcPr>
          <w:p>
            <w:pPr>
              <w:snapToGrid w:val="0"/>
              <w:spacing w:line="360" w:lineRule="auto"/>
              <w:contextualSpacing/>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-2</w:t>
            </w:r>
          </w:p>
        </w:tc>
        <w:tc>
          <w:tcPr>
            <w:tcW w:w="15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交换配置</w:t>
            </w:r>
          </w:p>
        </w:tc>
        <w:tc>
          <w:tcPr>
            <w:tcW w:w="4654"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LAN、STP、RSTP、MSTP、802.1X、ARP、交换机虚拟化、交换安全、端口聚合、端口镜像、VRRP、VRRP V3、IPV6、PBR、ACL、DHCP Snooping、QOS、 BFD、Keepalive gateway、基于流的重定向等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9" w:hRule="atLeast"/>
          <w:jc w:val="center"/>
        </w:trPr>
        <w:tc>
          <w:tcPr>
            <w:tcW w:w="725" w:type="dxa"/>
            <w:tcBorders>
              <w:top w:val="single" w:color="auto" w:sz="4" w:space="0"/>
              <w:left w:val="single" w:color="000000" w:sz="4" w:space="0"/>
              <w:bottom w:val="single" w:color="auto" w:sz="4" w:space="0"/>
              <w:right w:val="single" w:color="000000" w:sz="4" w:space="0"/>
            </w:tcBorders>
            <w:vAlign w:val="center"/>
          </w:tcPr>
          <w:p>
            <w:pPr>
              <w:snapToGrid w:val="0"/>
              <w:spacing w:line="360" w:lineRule="auto"/>
              <w:contextualSpacing/>
              <w:jc w:val="center"/>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-3</w:t>
            </w:r>
          </w:p>
        </w:tc>
        <w:tc>
          <w:tcPr>
            <w:tcW w:w="1593" w:type="dxa"/>
            <w:vMerge w:val="continue"/>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路由调试</w:t>
            </w:r>
          </w:p>
        </w:tc>
        <w:tc>
          <w:tcPr>
            <w:tcW w:w="4654"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E1链路捆绑、PPP或者HDLC协议、静态、RIP、RIPng、OSPF、OSPFV3、BGP、MBGP、ISIS等单播路由协议、PIM、IGMP等组播协议、NTP、DHCP、TELNET、策略路由、IPV6、NAT、QOS等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9"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contextualSpacing/>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w:t>
            </w:r>
            <w:r>
              <w:rPr>
                <w:rFonts w:hint="eastAsia" w:ascii="Times New Roman" w:hAnsi="Times New Roman" w:eastAsia="仿宋_GB2312" w:cs="Times New Roman"/>
                <w:sz w:val="24"/>
                <w:lang w:val="en-US" w:eastAsia="zh-CN"/>
              </w:rPr>
              <w:t>1</w:t>
            </w:r>
          </w:p>
        </w:tc>
        <w:tc>
          <w:tcPr>
            <w:tcW w:w="1593" w:type="dxa"/>
            <w:vMerge w:val="continue"/>
            <w:tcBorders>
              <w:left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Windows服务配置</w:t>
            </w:r>
          </w:p>
        </w:tc>
        <w:tc>
          <w:tcPr>
            <w:tcW w:w="4654" w:type="dxa"/>
            <w:vMerge w:val="restart"/>
            <w:tcBorders>
              <w:top w:val="single" w:color="000000" w:sz="4" w:space="0"/>
              <w:left w:val="single" w:color="000000" w:sz="4" w:space="0"/>
              <w:right w:val="single" w:color="000000" w:sz="4" w:space="0"/>
            </w:tcBorders>
            <w:vAlign w:val="center"/>
          </w:tcPr>
          <w:p>
            <w:pPr>
              <w:adjustRightInd w:val="0"/>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能根据企业需求，在vmware workstation创建虚拟机等；</w:t>
            </w:r>
          </w:p>
          <w:p>
            <w:pPr>
              <w:adjustRightInd w:val="0"/>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能根据任务要求，根据企业的应用需求，熟练安装和配置AD、组策略、DNS、WEB、ASP、E-MAIL、DHCP、DFS、NTP、NIS、KDC、MariaDB、Apache、Nginx、NFS、Samba、Tomcat、CA证书、iSCSI、文件共享、NLB、故障转移、多路径、BitLocker、打印服务、PowerShell脚本、Linux Shell脚本、mysql、mariadb、mongodb、postgresql、数据库备份、PXE、WDS、ftp、FTPd、VPN、apache2、tomcat、mail、samba、nfs、haproxy、keepalived 、pacemaker、zabbix、ceph、etcd、openldap、docker、podman、kubernetes、containerd、redis、RAID、磁盘加密、WordPress等开展系统服务和数据库配置、群集管理等应用；</w:t>
            </w:r>
          </w:p>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能够完成开发环境搭建、操作系统系统更新、Linux系统内核升级和故障排除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napToGrid w:val="0"/>
              <w:contextualSpacing/>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w:t>
            </w:r>
            <w:r>
              <w:rPr>
                <w:rFonts w:hint="eastAsia" w:ascii="Times New Roman" w:hAnsi="Times New Roman" w:eastAsia="仿宋_GB2312" w:cs="Times New Roman"/>
                <w:sz w:val="24"/>
                <w:lang w:val="en-US" w:eastAsia="zh-CN"/>
              </w:rPr>
              <w:t>2</w:t>
            </w:r>
          </w:p>
        </w:tc>
        <w:tc>
          <w:tcPr>
            <w:tcW w:w="1593" w:type="dxa"/>
            <w:vMerge w:val="continue"/>
            <w:tcBorders>
              <w:left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Linux服务配置</w:t>
            </w:r>
          </w:p>
        </w:tc>
        <w:tc>
          <w:tcPr>
            <w:tcW w:w="4654" w:type="dxa"/>
            <w:vMerge w:val="continue"/>
            <w:tcBorders>
              <w:left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pPr>
              <w:snapToGrid w:val="0"/>
              <w:contextualSpacing/>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2</w:t>
            </w:r>
            <w:r>
              <w:rPr>
                <w:rFonts w:hint="default" w:ascii="Times New Roman" w:hAnsi="Times New Roman" w:eastAsia="仿宋_GB2312" w:cs="Times New Roman"/>
                <w:sz w:val="24"/>
              </w:rPr>
              <w:t>-</w:t>
            </w:r>
            <w:r>
              <w:rPr>
                <w:rFonts w:hint="eastAsia" w:ascii="Times New Roman" w:hAnsi="Times New Roman" w:eastAsia="仿宋_GB2312" w:cs="Times New Roman"/>
                <w:sz w:val="24"/>
                <w:lang w:val="en-US" w:eastAsia="zh-CN"/>
              </w:rPr>
              <w:t>3</w:t>
            </w:r>
          </w:p>
        </w:tc>
        <w:tc>
          <w:tcPr>
            <w:tcW w:w="1593" w:type="dxa"/>
            <w:vMerge w:val="continue"/>
            <w:tcBorders>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p>
        </w:tc>
        <w:tc>
          <w:tcPr>
            <w:tcW w:w="1206" w:type="dxa"/>
            <w:tcBorders>
              <w:top w:val="single" w:color="000000" w:sz="4" w:space="0"/>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网络运维</w:t>
            </w:r>
          </w:p>
        </w:tc>
        <w:tc>
          <w:tcPr>
            <w:tcW w:w="4654" w:type="dxa"/>
            <w:tcBorders>
              <w:left w:val="single" w:color="000000" w:sz="4" w:space="0"/>
              <w:bottom w:val="single" w:color="000000" w:sz="4" w:space="0"/>
              <w:right w:val="single" w:color="000000" w:sz="4" w:space="0"/>
            </w:tcBorders>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虚拟仿真主流操作系统、主流网络和安全设备实现互联互通，服务器搭建模拟，网络安全模拟演练等实现网络排错、电子取证、应急响应等技能</w:t>
            </w:r>
          </w:p>
        </w:tc>
      </w:tr>
    </w:tbl>
    <w:p>
      <w:pPr>
        <w:spacing w:before="155" w:beforeLines="50" w:after="155" w:afterLines="50"/>
        <w:rPr>
          <w:rFonts w:hint="default" w:ascii="Times New Roman" w:hAnsi="Times New Roman" w:eastAsia="仿宋" w:cs="Times New Roman"/>
          <w:sz w:val="32"/>
          <w:szCs w:val="32"/>
        </w:rPr>
        <w:sectPr>
          <w:pgSz w:w="11906" w:h="16838"/>
          <w:pgMar w:top="1440" w:right="1797" w:bottom="1440" w:left="1797" w:header="851" w:footer="992" w:gutter="0"/>
          <w:cols w:space="720" w:num="1"/>
          <w:docGrid w:type="linesAndChars" w:linePitch="310" w:charSpace="-451"/>
        </w:sectPr>
      </w:pPr>
    </w:p>
    <w:p>
      <w:pPr>
        <w:keepNext w:val="0"/>
        <w:keepLines w:val="0"/>
        <w:pageBreakBefore w:val="0"/>
        <w:widowControl/>
        <w:kinsoku/>
        <w:wordWrap/>
        <w:overflowPunct/>
        <w:topLinePunct w:val="0"/>
        <w:autoSpaceDE/>
        <w:autoSpaceDN/>
        <w:bidi w:val="0"/>
        <w:adjustRightInd/>
        <w:snapToGrid/>
        <w:spacing w:before="156" w:beforeLines="50" w:after="156" w:afterLines="50"/>
        <w:jc w:val="left"/>
        <w:textAlignment w:val="auto"/>
        <w:outlineLvl w:val="0"/>
        <w:rPr>
          <w:rFonts w:hint="default" w:ascii="Times New Roman" w:hAnsi="Times New Roman" w:eastAsia="黑体" w:cs="Times New Roman"/>
          <w:b w:val="0"/>
          <w:bCs w:val="0"/>
          <w:sz w:val="32"/>
        </w:rPr>
      </w:pPr>
      <w:r>
        <w:rPr>
          <w:rFonts w:hint="eastAsia" w:ascii="Times New Roman" w:hAnsi="Times New Roman" w:eastAsia="黑体" w:cs="Times New Roman"/>
          <w:b w:val="0"/>
          <w:bCs w:val="0"/>
          <w:sz w:val="32"/>
          <w:lang w:val="en-US" w:eastAsia="zh-CN"/>
        </w:rPr>
        <w:t>七</w:t>
      </w:r>
      <w:r>
        <w:rPr>
          <w:rFonts w:hint="default" w:ascii="Times New Roman" w:hAnsi="Times New Roman" w:eastAsia="黑体" w:cs="Times New Roman"/>
          <w:b w:val="0"/>
          <w:bCs w:val="0"/>
          <w:sz w:val="32"/>
        </w:rPr>
        <w:t>、技术环境</w:t>
      </w:r>
    </w:p>
    <w:p>
      <w:pPr>
        <w:spacing w:line="360" w:lineRule="auto"/>
        <w:ind w:firstLine="562"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（一）技术平台</w:t>
      </w:r>
    </w:p>
    <w:tbl>
      <w:tblPr>
        <w:tblStyle w:val="24"/>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187"/>
        <w:gridCol w:w="75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blHeader/>
          <w:jc w:val="center"/>
        </w:trPr>
        <w:tc>
          <w:tcPr>
            <w:tcW w:w="846" w:type="dxa"/>
            <w:shd w:val="clear" w:color="auto" w:fill="D5DCE4"/>
            <w:vAlign w:val="center"/>
          </w:tcPr>
          <w:p>
            <w:pPr>
              <w:snapToGrid w:val="0"/>
              <w:contextualSpacing/>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3187" w:type="dxa"/>
            <w:shd w:val="clear" w:color="auto" w:fill="D5DCE4"/>
            <w:vAlign w:val="center"/>
          </w:tcPr>
          <w:p>
            <w:pPr>
              <w:snapToGrid w:val="0"/>
              <w:contextualSpacing/>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设备名称</w:t>
            </w:r>
          </w:p>
        </w:tc>
        <w:tc>
          <w:tcPr>
            <w:tcW w:w="757" w:type="dxa"/>
            <w:shd w:val="clear" w:color="auto" w:fill="D5DCE4"/>
            <w:vAlign w:val="center"/>
          </w:tcPr>
          <w:p>
            <w:pPr>
              <w:snapToGrid w:val="0"/>
              <w:contextualSpacing/>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数量</w:t>
            </w:r>
          </w:p>
        </w:tc>
        <w:tc>
          <w:tcPr>
            <w:tcW w:w="3544" w:type="dxa"/>
            <w:shd w:val="clear" w:color="auto" w:fill="D5DCE4"/>
            <w:vAlign w:val="center"/>
          </w:tcPr>
          <w:p>
            <w:pPr>
              <w:snapToGrid w:val="0"/>
              <w:contextualSpacing/>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pStyle w:val="35"/>
              <w:widowControl/>
              <w:snapToGrid w:val="0"/>
              <w:ind w:firstLine="0" w:firstLineChars="0"/>
              <w:contextualSpacing/>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3187" w:type="dxa"/>
            <w:vAlign w:val="center"/>
          </w:tcPr>
          <w:p>
            <w:pPr>
              <w:widowControl/>
              <w:snapToGrid w:val="0"/>
              <w:contextualSpacing/>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路由器</w:t>
            </w:r>
          </w:p>
          <w:p>
            <w:pPr>
              <w:widowControl/>
              <w:snapToGrid w:val="0"/>
              <w:contextualSpacing/>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(含路由线缆)</w:t>
            </w:r>
          </w:p>
        </w:tc>
        <w:tc>
          <w:tcPr>
            <w:tcW w:w="757" w:type="dxa"/>
            <w:vAlign w:val="center"/>
          </w:tcPr>
          <w:p>
            <w:pPr>
              <w:widowControl/>
              <w:snapToGrid w:val="0"/>
              <w:contextualSpacing/>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3</w:t>
            </w:r>
          </w:p>
        </w:tc>
        <w:tc>
          <w:tcPr>
            <w:tcW w:w="3544" w:type="dxa"/>
            <w:vAlign w:val="center"/>
          </w:tcPr>
          <w:p>
            <w:pPr>
              <w:snapToGrid w:val="0"/>
              <w:contextualSpacing/>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46" w:type="dxa"/>
            <w:vAlign w:val="center"/>
          </w:tcPr>
          <w:p>
            <w:pPr>
              <w:pStyle w:val="35"/>
              <w:widowControl/>
              <w:snapToGrid w:val="0"/>
              <w:ind w:firstLine="0" w:firstLineChars="0"/>
              <w:contextualSpacing/>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3187" w:type="dxa"/>
            <w:vAlign w:val="center"/>
          </w:tcPr>
          <w:p>
            <w:pPr>
              <w:snapToGrid w:val="0"/>
              <w:contextualSpacing/>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三层交换机</w:t>
            </w:r>
          </w:p>
        </w:tc>
        <w:tc>
          <w:tcPr>
            <w:tcW w:w="757" w:type="dxa"/>
            <w:vAlign w:val="center"/>
          </w:tcPr>
          <w:p>
            <w:pPr>
              <w:snapToGrid w:val="0"/>
              <w:contextualSpacing/>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1</w:t>
            </w:r>
          </w:p>
        </w:tc>
        <w:tc>
          <w:tcPr>
            <w:tcW w:w="3544" w:type="dxa"/>
            <w:vAlign w:val="center"/>
          </w:tcPr>
          <w:p>
            <w:pPr>
              <w:snapToGrid w:val="0"/>
              <w:contextualSpacing/>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846" w:type="dxa"/>
            <w:vAlign w:val="center"/>
          </w:tcPr>
          <w:p>
            <w:pPr>
              <w:pStyle w:val="35"/>
              <w:widowControl/>
              <w:snapToGrid w:val="0"/>
              <w:ind w:firstLine="0" w:firstLineChars="0"/>
              <w:contextualSpacing/>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3</w:t>
            </w:r>
          </w:p>
        </w:tc>
        <w:tc>
          <w:tcPr>
            <w:tcW w:w="3187" w:type="dxa"/>
            <w:vAlign w:val="center"/>
          </w:tcPr>
          <w:p>
            <w:pPr>
              <w:snapToGrid w:val="0"/>
              <w:contextualSpacing/>
              <w:jc w:val="both"/>
              <w:rPr>
                <w:rFonts w:hint="default" w:ascii="Times New Roman" w:hAnsi="Times New Roman" w:eastAsia="仿宋_GB2312" w:cs="Times New Roman"/>
                <w:sz w:val="24"/>
              </w:rPr>
            </w:pPr>
            <w:r>
              <w:rPr>
                <w:rFonts w:hint="eastAsia" w:ascii="Times New Roman" w:hAnsi="Times New Roman" w:eastAsia="仿宋_GB2312" w:cs="Times New Roman"/>
                <w:sz w:val="24"/>
                <w:lang w:val="en-US" w:eastAsia="zh-CN"/>
              </w:rPr>
              <w:t>二</w:t>
            </w:r>
            <w:r>
              <w:rPr>
                <w:rFonts w:hint="default" w:ascii="Times New Roman" w:hAnsi="Times New Roman" w:eastAsia="仿宋_GB2312" w:cs="Times New Roman"/>
                <w:sz w:val="24"/>
              </w:rPr>
              <w:t>层交换机</w:t>
            </w:r>
          </w:p>
        </w:tc>
        <w:tc>
          <w:tcPr>
            <w:tcW w:w="757" w:type="dxa"/>
            <w:vAlign w:val="center"/>
          </w:tcPr>
          <w:p>
            <w:pPr>
              <w:snapToGrid w:val="0"/>
              <w:contextualSpacing/>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2</w:t>
            </w:r>
          </w:p>
        </w:tc>
        <w:tc>
          <w:tcPr>
            <w:tcW w:w="3544" w:type="dxa"/>
            <w:vAlign w:val="center"/>
          </w:tcPr>
          <w:p>
            <w:pPr>
              <w:snapToGrid w:val="0"/>
              <w:contextualSpacing/>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pStyle w:val="35"/>
              <w:widowControl/>
              <w:snapToGrid w:val="0"/>
              <w:ind w:firstLine="0" w:firstLineChars="0"/>
              <w:contextualSpacing/>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4</w:t>
            </w:r>
          </w:p>
        </w:tc>
        <w:tc>
          <w:tcPr>
            <w:tcW w:w="3187" w:type="dxa"/>
            <w:vAlign w:val="center"/>
          </w:tcPr>
          <w:p>
            <w:pPr>
              <w:snapToGrid w:val="0"/>
              <w:contextualSpacing/>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防火墙</w:t>
            </w:r>
          </w:p>
          <w:p>
            <w:pPr>
              <w:snapToGrid w:val="0"/>
              <w:contextualSpacing/>
              <w:jc w:val="both"/>
              <w:rPr>
                <w:rFonts w:hint="default" w:ascii="Times New Roman" w:hAnsi="Times New Roman" w:eastAsia="仿宋_GB2312" w:cs="Times New Roman"/>
                <w:sz w:val="24"/>
              </w:rPr>
            </w:pPr>
            <w:r>
              <w:rPr>
                <w:rFonts w:hint="default" w:ascii="Times New Roman" w:hAnsi="Times New Roman" w:eastAsia="仿宋_GB2312" w:cs="Times New Roman"/>
                <w:sz w:val="24"/>
              </w:rPr>
              <w:t>（需含特征库升级许可）</w:t>
            </w:r>
          </w:p>
        </w:tc>
        <w:tc>
          <w:tcPr>
            <w:tcW w:w="757" w:type="dxa"/>
            <w:vAlign w:val="center"/>
          </w:tcPr>
          <w:p>
            <w:pPr>
              <w:snapToGrid w:val="0"/>
              <w:contextualSpacing/>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544" w:type="dxa"/>
            <w:vAlign w:val="center"/>
          </w:tcPr>
          <w:p>
            <w:pPr>
              <w:snapToGrid w:val="0"/>
              <w:contextualSpacing/>
              <w:jc w:val="both"/>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6" w:type="dxa"/>
            <w:vAlign w:val="center"/>
          </w:tcPr>
          <w:p>
            <w:pPr>
              <w:pStyle w:val="35"/>
              <w:widowControl/>
              <w:snapToGrid w:val="0"/>
              <w:ind w:firstLine="0" w:firstLineChars="0"/>
              <w:contextualSpacing/>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5</w:t>
            </w:r>
          </w:p>
        </w:tc>
        <w:tc>
          <w:tcPr>
            <w:tcW w:w="3187" w:type="dxa"/>
            <w:vAlign w:val="center"/>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X86 PC机 1台</w:t>
            </w:r>
          </w:p>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CPU: 主频&gt;=3.5GHZ,</w:t>
            </w:r>
          </w:p>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&gt;=八核心十六线程</w:t>
            </w:r>
          </w:p>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内存&gt;=16G</w:t>
            </w:r>
          </w:p>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硬盘&gt;=</w:t>
            </w:r>
            <w:r>
              <w:rPr>
                <w:rFonts w:hint="eastAsia" w:ascii="Times New Roman" w:hAnsi="Times New Roman" w:eastAsia="仿宋_GB2312" w:cs="Times New Roman"/>
                <w:sz w:val="24"/>
                <w:lang w:val="en-US" w:eastAsia="zh-CN"/>
              </w:rPr>
              <w:t>500G</w:t>
            </w:r>
            <w:r>
              <w:rPr>
                <w:rFonts w:hint="default" w:ascii="Times New Roman" w:hAnsi="Times New Roman" w:eastAsia="仿宋_GB2312" w:cs="Times New Roman"/>
                <w:sz w:val="24"/>
              </w:rPr>
              <w:t xml:space="preserve"> nvme</w:t>
            </w:r>
          </w:p>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UEFI启动</w:t>
            </w:r>
          </w:p>
          <w:p>
            <w:pPr>
              <w:widowControl/>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支持硬件虚拟化</w:t>
            </w:r>
          </w:p>
          <w:p>
            <w:pPr>
              <w:widowControl/>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显示器：23.8寸及以上</w:t>
            </w:r>
          </w:p>
          <w:p>
            <w:pPr>
              <w:widowControl/>
              <w:snapToGrid w:val="0"/>
              <w:contextualSpacing/>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USB键盘鼠标</w:t>
            </w:r>
          </w:p>
        </w:tc>
        <w:tc>
          <w:tcPr>
            <w:tcW w:w="757" w:type="dxa"/>
            <w:vAlign w:val="center"/>
          </w:tcPr>
          <w:p>
            <w:pPr>
              <w:widowControl/>
              <w:snapToGrid w:val="0"/>
              <w:contextualSpacing/>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2</w:t>
            </w:r>
          </w:p>
        </w:tc>
        <w:tc>
          <w:tcPr>
            <w:tcW w:w="3544" w:type="dxa"/>
            <w:vAlign w:val="center"/>
          </w:tcPr>
          <w:p>
            <w:pPr>
              <w:snapToGrid w:val="0"/>
              <w:contextualSpacing/>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vAlign w:val="center"/>
          </w:tcPr>
          <w:p>
            <w:pPr>
              <w:pStyle w:val="35"/>
              <w:widowControl/>
              <w:snapToGrid w:val="0"/>
              <w:ind w:firstLine="0" w:firstLineChars="0"/>
              <w:contextualSpacing/>
              <w:jc w:val="cente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sz w:val="24"/>
                <w:szCs w:val="24"/>
                <w:lang w:val="en-US" w:eastAsia="zh-CN"/>
              </w:rPr>
              <w:t>6</w:t>
            </w:r>
          </w:p>
        </w:tc>
        <w:tc>
          <w:tcPr>
            <w:tcW w:w="3187" w:type="dxa"/>
            <w:vAlign w:val="center"/>
          </w:tcPr>
          <w:p>
            <w:pPr>
              <w:widowControl/>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网络设备机柜</w:t>
            </w:r>
          </w:p>
          <w:p>
            <w:pPr>
              <w:widowControl/>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（需包括开放机柜，配套配线架、布线管槽、底盒和模块）</w:t>
            </w:r>
          </w:p>
        </w:tc>
        <w:tc>
          <w:tcPr>
            <w:tcW w:w="757" w:type="dxa"/>
            <w:vAlign w:val="center"/>
          </w:tcPr>
          <w:p>
            <w:pPr>
              <w:widowControl/>
              <w:snapToGrid w:val="0"/>
              <w:contextualSpacing/>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544" w:type="dxa"/>
            <w:vAlign w:val="center"/>
          </w:tcPr>
          <w:p>
            <w:pPr>
              <w:snapToGrid w:val="0"/>
              <w:contextualSpacing/>
              <w:rPr>
                <w:rFonts w:hint="default" w:ascii="Times New Roman" w:hAnsi="Times New Roman" w:eastAsia="仿宋_GB2312" w:cs="Times New Roman"/>
                <w:sz w:val="24"/>
              </w:rPr>
            </w:pPr>
          </w:p>
        </w:tc>
      </w:tr>
    </w:tbl>
    <w:p>
      <w:pPr>
        <w:spacing w:line="360" w:lineRule="auto"/>
        <w:ind w:firstLine="562" w:firstLineChars="200"/>
        <w:outlineLvl w:val="1"/>
        <w:rPr>
          <w:rFonts w:hint="default" w:ascii="Times New Roman" w:hAnsi="Times New Roman" w:eastAsia="楷体" w:cs="Times New Roman"/>
          <w:b/>
          <w:bCs/>
          <w:color w:val="000000" w:themeColor="text1"/>
          <w:sz w:val="28"/>
          <w:szCs w:val="28"/>
          <w14:textFill>
            <w14:solidFill>
              <w14:schemeClr w14:val="tx1"/>
            </w14:solidFill>
          </w14:textFill>
        </w:rPr>
      </w:pPr>
      <w:r>
        <w:rPr>
          <w:rFonts w:hint="default" w:ascii="Times New Roman" w:hAnsi="Times New Roman" w:eastAsia="楷体" w:cs="Times New Roman"/>
          <w:b/>
          <w:bCs/>
          <w:color w:val="000000" w:themeColor="text1"/>
          <w:sz w:val="28"/>
          <w:szCs w:val="28"/>
          <w14:textFill>
            <w14:solidFill>
              <w14:schemeClr w14:val="tx1"/>
            </w14:solidFill>
          </w14:textFill>
        </w:rPr>
        <w:t>（二）技术环境</w:t>
      </w:r>
    </w:p>
    <w:p>
      <w:pPr>
        <w:snapToGrid w:val="0"/>
        <w:spacing w:line="360" w:lineRule="auto"/>
        <w:ind w:firstLine="560" w:firstLineChars="200"/>
        <w:contextualSpacing/>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每赛位具体软件参数如下所示:</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4304"/>
        <w:gridCol w:w="2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9" w:type="dxa"/>
            <w:shd w:val="clear" w:color="auto" w:fill="D5DCE4"/>
          </w:tcPr>
          <w:p>
            <w:pPr>
              <w:spacing w:line="36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序号</w:t>
            </w:r>
          </w:p>
        </w:tc>
        <w:tc>
          <w:tcPr>
            <w:tcW w:w="4304" w:type="dxa"/>
            <w:shd w:val="clear" w:color="auto" w:fill="D5DCE4"/>
          </w:tcPr>
          <w:p>
            <w:pPr>
              <w:spacing w:line="36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软件参数</w:t>
            </w:r>
          </w:p>
        </w:tc>
        <w:tc>
          <w:tcPr>
            <w:tcW w:w="2481" w:type="dxa"/>
            <w:shd w:val="clear" w:color="auto" w:fill="D5DCE4"/>
          </w:tcPr>
          <w:p>
            <w:pPr>
              <w:spacing w:line="360" w:lineRule="auto"/>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99" w:type="dxa"/>
            <w:shd w:val="clear" w:color="auto" w:fill="auto"/>
          </w:tcPr>
          <w:p>
            <w:pPr>
              <w:snapToGrid w:val="0"/>
              <w:contextualSpacing/>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4304" w:type="dxa"/>
            <w:shd w:val="clear" w:color="auto" w:fill="auto"/>
          </w:tcPr>
          <w:p>
            <w:pPr>
              <w:snapToGrid w:val="0"/>
              <w:contextualSpacing/>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 xml:space="preserve">Windows 11 </w:t>
            </w:r>
          </w:p>
        </w:tc>
        <w:tc>
          <w:tcPr>
            <w:tcW w:w="2481" w:type="dxa"/>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承办校电脑自带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99" w:type="dxa"/>
            <w:shd w:val="clear" w:color="auto" w:fill="auto"/>
          </w:tcPr>
          <w:p>
            <w:pPr>
              <w:snapToGrid w:val="0"/>
              <w:contextualSpacing/>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4304" w:type="dxa"/>
            <w:shd w:val="clear" w:color="auto" w:fill="auto"/>
          </w:tcPr>
          <w:p>
            <w:pPr>
              <w:snapToGrid w:val="0"/>
              <w:contextualSpacing/>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vmware workstation</w:t>
            </w:r>
            <w:r>
              <w:rPr>
                <w:rFonts w:hint="eastAsia" w:ascii="Times New Roman" w:hAnsi="Times New Roman" w:eastAsia="仿宋_GB2312" w:cs="Times New Roman"/>
                <w:sz w:val="24"/>
                <w:lang w:val="en-US" w:eastAsia="zh-CN"/>
              </w:rPr>
              <w:t xml:space="preserve"> 16</w:t>
            </w:r>
          </w:p>
        </w:tc>
        <w:tc>
          <w:tcPr>
            <w:tcW w:w="2481" w:type="dxa"/>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赛场提供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99" w:type="dxa"/>
            <w:shd w:val="clear" w:color="auto" w:fill="auto"/>
          </w:tcPr>
          <w:p>
            <w:pPr>
              <w:snapToGrid w:val="0"/>
              <w:contextualSpacing/>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4304" w:type="dxa"/>
            <w:shd w:val="clear" w:color="auto" w:fill="auto"/>
          </w:tcPr>
          <w:p>
            <w:pPr>
              <w:snapToGrid w:val="0"/>
              <w:contextualSpacing/>
              <w:rPr>
                <w:rFonts w:hint="default" w:ascii="Times New Roman" w:hAnsi="Times New Roman" w:eastAsia="仿宋_GB2312" w:cs="Times New Roman"/>
                <w:bCs/>
                <w:kern w:val="0"/>
                <w:sz w:val="24"/>
                <w:lang w:val="en-US" w:eastAsia="zh-CN"/>
              </w:rPr>
            </w:pPr>
            <w:r>
              <w:rPr>
                <w:rFonts w:hint="eastAsia" w:ascii="Times New Roman" w:hAnsi="Times New Roman" w:eastAsia="仿宋_GB2312" w:cs="Times New Roman"/>
                <w:bCs/>
                <w:kern w:val="0"/>
                <w:sz w:val="24"/>
                <w:lang w:val="en-US" w:eastAsia="zh-CN"/>
              </w:rPr>
              <w:t>Centos 7.6</w:t>
            </w:r>
          </w:p>
        </w:tc>
        <w:tc>
          <w:tcPr>
            <w:tcW w:w="2481" w:type="dxa"/>
          </w:tcPr>
          <w:p>
            <w:pPr>
              <w:snapToGrid w:val="0"/>
              <w:contextualSpacing/>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镜像</w:t>
            </w:r>
            <w:r>
              <w:rPr>
                <w:rFonts w:hint="eastAsia" w:ascii="Times New Roman" w:hAnsi="Times New Roman" w:eastAsia="仿宋_GB2312" w:cs="Times New Roman"/>
                <w:sz w:val="24"/>
                <w:lang w:val="en-US"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399" w:type="dxa"/>
            <w:shd w:val="clear" w:color="auto" w:fill="auto"/>
          </w:tcPr>
          <w:p>
            <w:pPr>
              <w:snapToGrid w:val="0"/>
              <w:contextualSpacing/>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4304" w:type="dxa"/>
            <w:shd w:val="clear" w:color="auto" w:fill="auto"/>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Windows Server 20</w:t>
            </w:r>
            <w:r>
              <w:rPr>
                <w:rFonts w:hint="eastAsia" w:ascii="Times New Roman" w:hAnsi="Times New Roman" w:eastAsia="仿宋_GB2312" w:cs="Times New Roman"/>
                <w:sz w:val="24"/>
                <w:lang w:val="en-US" w:eastAsia="zh-CN"/>
              </w:rPr>
              <w:t>16</w:t>
            </w:r>
            <w:r>
              <w:rPr>
                <w:rFonts w:hint="default" w:ascii="Times New Roman" w:hAnsi="Times New Roman" w:eastAsia="仿宋_GB2312" w:cs="Times New Roman"/>
                <w:sz w:val="24"/>
              </w:rPr>
              <w:t xml:space="preserve"> 中文数据中心版</w:t>
            </w:r>
          </w:p>
        </w:tc>
        <w:tc>
          <w:tcPr>
            <w:tcW w:w="2481" w:type="dxa"/>
          </w:tcPr>
          <w:p>
            <w:pPr>
              <w:snapToGrid w:val="0"/>
              <w:contextualSpacing/>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rPr>
              <w:t>镜像</w:t>
            </w:r>
            <w:r>
              <w:rPr>
                <w:rFonts w:hint="eastAsia" w:ascii="Times New Roman" w:hAnsi="Times New Roman" w:eastAsia="仿宋_GB2312" w:cs="Times New Roman"/>
                <w:sz w:val="24"/>
                <w:lang w:val="en-US" w:eastAsia="zh-CN"/>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99" w:type="dxa"/>
            <w:shd w:val="clear" w:color="auto" w:fill="auto"/>
          </w:tcPr>
          <w:p>
            <w:pPr>
              <w:snapToGrid w:val="0"/>
              <w:contextualSpacing/>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4304" w:type="dxa"/>
            <w:shd w:val="clear" w:color="auto" w:fill="auto"/>
          </w:tcPr>
          <w:p>
            <w:pPr>
              <w:snapToGrid w:val="0"/>
              <w:contextualSpacing/>
              <w:rPr>
                <w:rFonts w:hint="default" w:ascii="Times New Roman" w:hAnsi="Times New Roman" w:eastAsia="仿宋_GB2312" w:cs="Times New Roman"/>
                <w:w w:val="90"/>
                <w:sz w:val="24"/>
                <w:lang w:val="en-US" w:eastAsia="zh-CN"/>
              </w:rPr>
            </w:pPr>
            <w:r>
              <w:rPr>
                <w:rFonts w:hint="eastAsia" w:ascii="Times New Roman" w:hAnsi="Times New Roman" w:eastAsia="仿宋_GB2312" w:cs="Times New Roman"/>
                <w:w w:val="90"/>
                <w:sz w:val="24"/>
                <w:lang w:val="en-US" w:eastAsia="zh-CN"/>
              </w:rPr>
              <w:t>WPS办公软件</w:t>
            </w:r>
          </w:p>
        </w:tc>
        <w:tc>
          <w:tcPr>
            <w:tcW w:w="2481" w:type="dxa"/>
          </w:tcPr>
          <w:p>
            <w:pPr>
              <w:snapToGrid w:val="0"/>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赛场提供</w:t>
            </w:r>
          </w:p>
        </w:tc>
      </w:tr>
    </w:tbl>
    <w:p>
      <w:pPr>
        <w:autoSpaceDE w:val="0"/>
        <w:autoSpaceDN w:val="0"/>
        <w:spacing w:line="360" w:lineRule="auto"/>
        <w:rPr>
          <w:rFonts w:hint="default" w:ascii="Times New Roman" w:hAnsi="Times New Roman" w:eastAsia="仿宋_GB2312" w:cs="Times New Roman"/>
          <w:color w:val="000000" w:themeColor="text1"/>
          <w:sz w:val="28"/>
          <w:szCs w:val="28"/>
          <w14:textFill>
            <w14:solidFill>
              <w14:schemeClr w14:val="tx1"/>
            </w14:solidFill>
          </w14:textFill>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856829-7BD4-4C90-BDC4-8B4F1A8780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EFFFCFC1-FD4E-4CCC-ABDE-F230A5B89A45}"/>
  </w:font>
  <w:font w:name="等线 Light">
    <w:panose1 w:val="02010600030101010101"/>
    <w:charset w:val="86"/>
    <w:family w:val="auto"/>
    <w:pitch w:val="default"/>
    <w:sig w:usb0="A00002BF" w:usb1="38CF7CFA" w:usb2="00000016" w:usb3="00000000" w:csb0="0004000F" w:csb1="00000000"/>
  </w:font>
  <w:font w:name="Wawati SC">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A568C401-BCC2-4DC1-8337-FB53D7D7F56B}"/>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4" w:fontKey="{3E932D06-A712-4228-B63D-92A95D869AEB}"/>
  </w:font>
  <w:font w:name="宋体棶.瓞..">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embedRegular r:id="rId5" w:fontKey="{9B31FE39-8BF4-45FA-B4FA-F78D3D8BB2F9}"/>
  </w:font>
  <w:font w:name="楷体">
    <w:panose1 w:val="02010609060101010101"/>
    <w:charset w:val="86"/>
    <w:family w:val="modern"/>
    <w:pitch w:val="default"/>
    <w:sig w:usb0="800002BF" w:usb1="38CF7CFA" w:usb2="00000016" w:usb3="00000000" w:csb0="00040001" w:csb1="00000000"/>
    <w:embedRegular r:id="rId6" w:fontKey="{98B0BD33-3F2E-4EFD-BE5D-13E79F25BC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99085" cy="466090"/>
              <wp:effectExtent l="1905" t="1270" r="3810" b="0"/>
              <wp:wrapNone/>
              <wp:docPr id="147642955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9085" cy="466090"/>
                      </a:xfrm>
                      <a:prstGeom prst="rect">
                        <a:avLst/>
                      </a:prstGeom>
                      <a:noFill/>
                      <a:ln>
                        <a:noFill/>
                      </a:ln>
                    </wps:spPr>
                    <wps:txbx>
                      <w:txbxContent>
                        <w:p>
                          <w:pPr>
                            <w:tabs>
                              <w:tab w:val="center" w:pos="4153"/>
                              <w:tab w:val="right" w:pos="8306"/>
                            </w:tabs>
                            <w:snapToGrid w:val="0"/>
                            <w:jc w:val="center"/>
                            <w:rPr>
                              <w:sz w:val="18"/>
                              <w:szCs w:val="18"/>
                            </w:rPr>
                          </w:pPr>
                          <w:r>
                            <w:rPr>
                              <w:sz w:val="18"/>
                              <w:szCs w:val="18"/>
                              <w:lang w:val="zh-CN"/>
                            </w:rPr>
                            <w:t xml:space="preserve"> </w:t>
                          </w: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sz w:val="18"/>
                              <w:szCs w:val="18"/>
                              <w:lang w:val="zh-CN"/>
                            </w:rPr>
                            <w:t xml:space="preserve"> </w:t>
                          </w:r>
                        </w:p>
                        <w:p>
                          <w:pPr>
                            <w:rPr>
                              <w:rFonts w:ascii="微软雅黑" w:hAnsi="微软雅黑" w:eastAsia="微软雅黑" w:cs="微软雅黑"/>
                              <w:sz w:val="24"/>
                            </w:rPr>
                          </w:pPr>
                        </w:p>
                      </w:txbxContent>
                    </wps:txbx>
                    <wps:bodyPr rot="0" vert="horz" wrap="square" lIns="0" tIns="0" rIns="0" bIns="0" anchor="t" anchorCtr="0" upright="1">
                      <a:spAutoFit/>
                    </wps:bodyPr>
                  </wps:wsp>
                </a:graphicData>
              </a:graphic>
            </wp:anchor>
          </w:drawing>
        </mc:Choice>
        <mc:Fallback>
          <w:pict>
            <v:shape id="文本框 2" o:spid="_x0000_s1026" o:spt="202" type="#_x0000_t202" style="position:absolute;left:0pt;margin-top:0pt;height:36.7pt;width:23.55pt;mso-position-horizontal:center;mso-position-horizontal-relative:margin;z-index:251660288;mso-width-relative:page;mso-height-relative:page;" filled="f" stroked="f" coordsize="21600,21600" o:gfxdata="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gzhu50wAAAAMBAAAPAAAAAAAAAAEA&#10;IAAAACIAAABkcnMvZG93bnJldi54bWxQSwECFAAUAAAACACHTuJAL0qaexQCAAANBAAADgAAAAAA&#10;AAABACAAAAAiAQAAZHJzL2Uyb0RvYy54bWxQSwUGAAAAAAYABgBZAQAAqAUAAAAA&#10;">
              <v:fill on="f" focussize="0,0"/>
              <v:stroke on="f"/>
              <v:imagedata o:title=""/>
              <o:lock v:ext="edit" aspectratio="f"/>
              <v:textbox inset="0mm,0mm,0mm,0mm" style="mso-fit-shape-to-text:t;">
                <w:txbxContent>
                  <w:p>
                    <w:pPr>
                      <w:tabs>
                        <w:tab w:val="center" w:pos="4153"/>
                        <w:tab w:val="right" w:pos="8306"/>
                      </w:tabs>
                      <w:snapToGrid w:val="0"/>
                      <w:jc w:val="center"/>
                      <w:rPr>
                        <w:sz w:val="18"/>
                        <w:szCs w:val="18"/>
                      </w:rPr>
                    </w:pPr>
                    <w:r>
                      <w:rPr>
                        <w:sz w:val="18"/>
                        <w:szCs w:val="18"/>
                        <w:lang w:val="zh-CN"/>
                      </w:rPr>
                      <w:t xml:space="preserve"> </w:t>
                    </w: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sz w:val="18"/>
                        <w:szCs w:val="18"/>
                        <w:lang w:val="zh-CN"/>
                      </w:rPr>
                      <w:t xml:space="preserve"> </w:t>
                    </w:r>
                  </w:p>
                  <w:p>
                    <w:pPr>
                      <w:rPr>
                        <w:rFonts w:ascii="微软雅黑" w:hAnsi="微软雅黑" w:eastAsia="微软雅黑" w:cs="微软雅黑"/>
                        <w:sz w:val="24"/>
                      </w:rPr>
                    </w:pPr>
                  </w:p>
                </w:txbxContent>
              </v:textbox>
            </v:shape>
          </w:pict>
        </mc:Fallback>
      </mc:AlternateContent>
    </w:r>
  </w:p>
  <w:p>
    <w:pPr>
      <w:tabs>
        <w:tab w:val="center" w:pos="4153"/>
        <w:tab w:val="right" w:pos="8306"/>
      </w:tabs>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5585" cy="46609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35585" cy="466090"/>
                      </a:xfrm>
                      <a:prstGeom prst="rect">
                        <a:avLst/>
                      </a:prstGeom>
                      <a:noFill/>
                      <a:ln w="6350">
                        <a:noFill/>
                      </a:ln>
                      <a:effectLst/>
                    </wps:spPr>
                    <wps:txbx>
                      <w:txbxContent>
                        <w:p>
                          <w:pPr>
                            <w:tabs>
                              <w:tab w:val="center" w:pos="4153"/>
                              <w:tab w:val="right" w:pos="8306"/>
                            </w:tabs>
                            <w:snapToGrid w:val="0"/>
                            <w:jc w:val="center"/>
                            <w:rPr>
                              <w:sz w:val="18"/>
                              <w:szCs w:val="18"/>
                            </w:rPr>
                          </w:pPr>
                          <w:r>
                            <w:rPr>
                              <w:sz w:val="18"/>
                              <w:szCs w:val="18"/>
                              <w:lang w:val="zh-CN"/>
                            </w:rPr>
                            <w:t xml:space="preserve"> </w:t>
                          </w: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sz w:val="18"/>
                              <w:szCs w:val="18"/>
                              <w:lang w:val="zh-CN"/>
                            </w:rPr>
                            <w:t xml:space="preserve"> </w:t>
                          </w:r>
                        </w:p>
                        <w:p>
                          <w:pPr>
                            <w:rPr>
                              <w:rFonts w:ascii="微软雅黑" w:hAnsi="微软雅黑" w:eastAsia="微软雅黑" w:cs="微软雅黑"/>
                              <w:sz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36.7pt;width:18.55pt;mso-position-horizontal:center;mso-position-horizontal-relative:margin;mso-wrap-style:none;z-index:251659264;mso-width-relative:page;mso-height-relative:page;" filled="f" stroked="f" coordsize="21600,21600" o:gfxdata="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DkUO9IAAAADAQAADwAAAAAAAAABACAAAAAiAAAAZHJzL2Rvd25yZXYueG1s&#10;UEsBAhQAFAAAAAgAh07iQKw7ec83AgAAYQQAAA4AAAAAAAAAAQAgAAAAIQEAAGRycy9lMm9Eb2Mu&#10;eG1sUEsFBgAAAAAGAAYAWQEAAMoFAAAAAA==&#10;">
              <v:fill on="f" focussize="0,0"/>
              <v:stroke on="f" weight="0.5pt"/>
              <v:imagedata o:title=""/>
              <o:lock v:ext="edit" aspectratio="f"/>
              <v:textbox inset="0mm,0mm,0mm,0mm" style="mso-fit-shape-to-text:t;">
                <w:txbxContent>
                  <w:p>
                    <w:pPr>
                      <w:tabs>
                        <w:tab w:val="center" w:pos="4153"/>
                        <w:tab w:val="right" w:pos="8306"/>
                      </w:tabs>
                      <w:snapToGrid w:val="0"/>
                      <w:jc w:val="center"/>
                      <w:rPr>
                        <w:sz w:val="18"/>
                        <w:szCs w:val="18"/>
                      </w:rPr>
                    </w:pPr>
                    <w:r>
                      <w:rPr>
                        <w:sz w:val="18"/>
                        <w:szCs w:val="18"/>
                        <w:lang w:val="zh-CN"/>
                      </w:rPr>
                      <w:t xml:space="preserve"> </w:t>
                    </w:r>
                    <w:r>
                      <w:rPr>
                        <w:rFonts w:ascii="Times New Roman" w:hAnsi="Times New Roman"/>
                        <w:sz w:val="28"/>
                        <w:szCs w:val="28"/>
                      </w:rPr>
                      <w:fldChar w:fldCharType="begin"/>
                    </w:r>
                    <w:r>
                      <w:rPr>
                        <w:rFonts w:ascii="Times New Roman" w:hAnsi="Times New Roman"/>
                        <w:sz w:val="28"/>
                        <w:szCs w:val="28"/>
                      </w:rPr>
                      <w:instrText xml:space="preserve">PAGE</w:instrText>
                    </w:r>
                    <w:r>
                      <w:rPr>
                        <w:rFonts w:ascii="Times New Roman" w:hAnsi="Times New Roman"/>
                        <w:sz w:val="28"/>
                        <w:szCs w:val="28"/>
                      </w:rPr>
                      <w:fldChar w:fldCharType="separate"/>
                    </w:r>
                    <w:r>
                      <w:rPr>
                        <w:rFonts w:ascii="Times New Roman" w:hAnsi="Times New Roman"/>
                        <w:sz w:val="28"/>
                        <w:szCs w:val="28"/>
                      </w:rPr>
                      <w:t>36</w:t>
                    </w:r>
                    <w:r>
                      <w:rPr>
                        <w:rFonts w:ascii="Times New Roman" w:hAnsi="Times New Roman"/>
                        <w:sz w:val="28"/>
                        <w:szCs w:val="28"/>
                      </w:rPr>
                      <w:fldChar w:fldCharType="end"/>
                    </w:r>
                    <w:r>
                      <w:rPr>
                        <w:sz w:val="18"/>
                        <w:szCs w:val="18"/>
                        <w:lang w:val="zh-CN"/>
                      </w:rPr>
                      <w:t xml:space="preserve"> </w:t>
                    </w:r>
                  </w:p>
                  <w:p>
                    <w:pPr>
                      <w:rPr>
                        <w:rFonts w:ascii="微软雅黑" w:hAnsi="微软雅黑" w:eastAsia="微软雅黑" w:cs="微软雅黑"/>
                        <w:sz w:val="24"/>
                      </w:rPr>
                    </w:pPr>
                  </w:p>
                </w:txbxContent>
              </v:textbox>
            </v:shape>
          </w:pict>
        </mc:Fallback>
      </mc:AlternateContent>
    </w:r>
  </w:p>
  <w:p>
    <w:pPr>
      <w:tabs>
        <w:tab w:val="center" w:pos="4153"/>
        <w:tab w:val="right" w:pos="8306"/>
      </w:tabs>
      <w:snapToGrid w:val="0"/>
      <w:jc w:val="left"/>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80"/>
      <w:rPr>
        <w:rFonts w:eastAsia="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D7BC7"/>
    <w:multiLevelType w:val="multilevel"/>
    <w:tmpl w:val="2AED7BC7"/>
    <w:lvl w:ilvl="0" w:tentative="0">
      <w:start w:val="2"/>
      <w:numFmt w:val="chineseCountingThousand"/>
      <w:pStyle w:val="38"/>
      <w:suff w:val="nothing"/>
      <w:lvlText w:val="%1、"/>
      <w:lvlJc w:val="left"/>
      <w:pPr>
        <w:ind w:left="0" w:firstLine="0"/>
      </w:pPr>
      <w:rPr>
        <w:rFonts w:hint="eastAsia" w:eastAsia="仿宋"/>
      </w:rPr>
    </w:lvl>
    <w:lvl w:ilvl="1" w:tentative="0">
      <w:start w:val="1"/>
      <w:numFmt w:val="chineseCountingThousand"/>
      <w:pStyle w:val="39"/>
      <w:suff w:val="nothing"/>
      <w:lvlText w:val="(%2)"/>
      <w:lvlJc w:val="left"/>
      <w:pPr>
        <w:ind w:left="0" w:firstLine="0"/>
      </w:pPr>
      <w:rPr>
        <w:rFonts w:hint="eastAsia" w:ascii="仿宋" w:eastAsia="仿宋"/>
        <w:b/>
        <w:bCs w:val="0"/>
      </w:rPr>
    </w:lvl>
    <w:lvl w:ilvl="2" w:tentative="0">
      <w:start w:val="1"/>
      <w:numFmt w:val="decimal"/>
      <w:pStyle w:val="40"/>
      <w:suff w:val="nothing"/>
      <w:lvlText w:val="%3."/>
      <w:lvlJc w:val="left"/>
      <w:pPr>
        <w:ind w:left="0" w:firstLine="0"/>
      </w:pPr>
      <w:rPr>
        <w:rFonts w:hint="eastAsia" w:eastAsia="仿宋"/>
        <w:b w:val="0"/>
        <w:bCs/>
      </w:rPr>
    </w:lvl>
    <w:lvl w:ilvl="3" w:tentative="0">
      <w:start w:val="1"/>
      <w:numFmt w:val="decimal"/>
      <w:pStyle w:val="41"/>
      <w:suff w:val="nothing"/>
      <w:lvlText w:val="(%4)"/>
      <w:lvlJc w:val="left"/>
      <w:pPr>
        <w:ind w:left="0" w:firstLine="0"/>
      </w:pPr>
      <w:rPr>
        <w:rFonts w:hint="eastAsia" w:eastAsia="仿宋"/>
      </w:rPr>
    </w:lvl>
    <w:lvl w:ilvl="4" w:tentative="0">
      <w:start w:val="1"/>
      <w:numFmt w:val="decimal"/>
      <w:pStyle w:val="43"/>
      <w:suff w:val="nothing"/>
      <w:lvlText w:val="%5)"/>
      <w:lvlJc w:val="left"/>
      <w:pPr>
        <w:ind w:left="0" w:firstLine="0"/>
      </w:pPr>
      <w:rPr>
        <w:rFonts w:hint="eastAsia"/>
      </w:rPr>
    </w:lvl>
    <w:lvl w:ilvl="5" w:tentative="0">
      <w:start w:val="1"/>
      <w:numFmt w:val="none"/>
      <w:lvlRestart w:val="0"/>
      <w:lvlText w:val=""/>
      <w:lvlJc w:val="left"/>
      <w:pPr>
        <w:ind w:left="0" w:firstLine="0"/>
      </w:pPr>
      <w:rPr>
        <w:rFonts w:hint="eastAsia"/>
      </w:rPr>
    </w:lvl>
    <w:lvl w:ilvl="6" w:tentative="0">
      <w:start w:val="1"/>
      <w:numFmt w:val="none"/>
      <w:lvlRestart w:val="0"/>
      <w:lvlText w:val=""/>
      <w:lvlJc w:val="left"/>
      <w:pPr>
        <w:ind w:left="0" w:firstLine="0"/>
      </w:pPr>
      <w:rPr>
        <w:rFonts w:hint="eastAsia"/>
      </w:rPr>
    </w:lvl>
    <w:lvl w:ilvl="7" w:tentative="0">
      <w:start w:val="1"/>
      <w:numFmt w:val="none"/>
      <w:lvlRestart w:val="0"/>
      <w:lvlText w:val=""/>
      <w:lvlJc w:val="left"/>
      <w:pPr>
        <w:ind w:left="0" w:firstLine="0"/>
      </w:pPr>
      <w:rPr>
        <w:rFonts w:hint="eastAsia"/>
      </w:rPr>
    </w:lvl>
    <w:lvl w:ilvl="8" w:tentative="0">
      <w:start w:val="1"/>
      <w:numFmt w:val="none"/>
      <w:lvlText w:val="%9."/>
      <w:lvlJc w:val="left"/>
      <w:pPr>
        <w:ind w:left="0" w:firstLine="0"/>
      </w:pPr>
      <w:rPr>
        <w:rFonts w:hint="eastAsia"/>
      </w:rPr>
    </w:lvl>
  </w:abstractNum>
  <w:abstractNum w:abstractNumId="1">
    <w:nsid w:val="30737301"/>
    <w:multiLevelType w:val="multilevel"/>
    <w:tmpl w:val="30737301"/>
    <w:lvl w:ilvl="0" w:tentative="0">
      <w:start w:val="1"/>
      <w:numFmt w:val="chineseCountingThousand"/>
      <w:pStyle w:val="4"/>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D9053C"/>
    <w:multiLevelType w:val="multilevel"/>
    <w:tmpl w:val="61D9053C"/>
    <w:lvl w:ilvl="0" w:tentative="0">
      <w:start w:val="1"/>
      <w:numFmt w:val="decimal"/>
      <w:pStyle w:val="5"/>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iMzM4NTRhOTY3YjUwOThiNDQ3ZGE0NmQzMWNiMjkifQ=="/>
  </w:docVars>
  <w:rsids>
    <w:rsidRoot w:val="003F605B"/>
    <w:rsid w:val="00021FFA"/>
    <w:rsid w:val="00023B90"/>
    <w:rsid w:val="00036E7E"/>
    <w:rsid w:val="00054B9A"/>
    <w:rsid w:val="0007134A"/>
    <w:rsid w:val="000B7E93"/>
    <w:rsid w:val="00140972"/>
    <w:rsid w:val="00140ADD"/>
    <w:rsid w:val="00185666"/>
    <w:rsid w:val="00191DAA"/>
    <w:rsid w:val="001A149F"/>
    <w:rsid w:val="001F3FA8"/>
    <w:rsid w:val="0020006C"/>
    <w:rsid w:val="00221E04"/>
    <w:rsid w:val="0022529A"/>
    <w:rsid w:val="003040F7"/>
    <w:rsid w:val="003537AB"/>
    <w:rsid w:val="00375F76"/>
    <w:rsid w:val="00387CEC"/>
    <w:rsid w:val="00396FC7"/>
    <w:rsid w:val="003F605B"/>
    <w:rsid w:val="00405F8C"/>
    <w:rsid w:val="00416323"/>
    <w:rsid w:val="0041632F"/>
    <w:rsid w:val="0042643F"/>
    <w:rsid w:val="00451CE1"/>
    <w:rsid w:val="004574A0"/>
    <w:rsid w:val="004744A7"/>
    <w:rsid w:val="004E392E"/>
    <w:rsid w:val="00503CC8"/>
    <w:rsid w:val="005244C6"/>
    <w:rsid w:val="00525D33"/>
    <w:rsid w:val="00550D82"/>
    <w:rsid w:val="005671C9"/>
    <w:rsid w:val="005A2EC5"/>
    <w:rsid w:val="005A77AF"/>
    <w:rsid w:val="005D1590"/>
    <w:rsid w:val="005D758C"/>
    <w:rsid w:val="005E7B8E"/>
    <w:rsid w:val="006045B3"/>
    <w:rsid w:val="00634248"/>
    <w:rsid w:val="0064366E"/>
    <w:rsid w:val="006F340C"/>
    <w:rsid w:val="00706480"/>
    <w:rsid w:val="007361B1"/>
    <w:rsid w:val="00772EBB"/>
    <w:rsid w:val="00773726"/>
    <w:rsid w:val="007868C1"/>
    <w:rsid w:val="007A36D3"/>
    <w:rsid w:val="007D1EAE"/>
    <w:rsid w:val="007D7A49"/>
    <w:rsid w:val="007E2364"/>
    <w:rsid w:val="007F5E76"/>
    <w:rsid w:val="008273B5"/>
    <w:rsid w:val="008342DA"/>
    <w:rsid w:val="00857203"/>
    <w:rsid w:val="00893EE4"/>
    <w:rsid w:val="008B45CD"/>
    <w:rsid w:val="008B5184"/>
    <w:rsid w:val="00927283"/>
    <w:rsid w:val="00955BF8"/>
    <w:rsid w:val="00965440"/>
    <w:rsid w:val="00970486"/>
    <w:rsid w:val="009A1D7E"/>
    <w:rsid w:val="009F4248"/>
    <w:rsid w:val="00A07C4B"/>
    <w:rsid w:val="00A82274"/>
    <w:rsid w:val="00AA0314"/>
    <w:rsid w:val="00B32D6D"/>
    <w:rsid w:val="00B405E1"/>
    <w:rsid w:val="00B61271"/>
    <w:rsid w:val="00B81E23"/>
    <w:rsid w:val="00B8202A"/>
    <w:rsid w:val="00BB341F"/>
    <w:rsid w:val="00C42C91"/>
    <w:rsid w:val="00C61663"/>
    <w:rsid w:val="00C91051"/>
    <w:rsid w:val="00CD0514"/>
    <w:rsid w:val="00CD062D"/>
    <w:rsid w:val="00CE09C2"/>
    <w:rsid w:val="00CE274B"/>
    <w:rsid w:val="00CF0D37"/>
    <w:rsid w:val="00D009C3"/>
    <w:rsid w:val="00D11FC6"/>
    <w:rsid w:val="00D35661"/>
    <w:rsid w:val="00D52ACD"/>
    <w:rsid w:val="00D576DB"/>
    <w:rsid w:val="00D61FB4"/>
    <w:rsid w:val="00D70E44"/>
    <w:rsid w:val="00D84DAA"/>
    <w:rsid w:val="00DA2431"/>
    <w:rsid w:val="00DC3E3E"/>
    <w:rsid w:val="00DD2EB3"/>
    <w:rsid w:val="00DE6C85"/>
    <w:rsid w:val="00DF14BF"/>
    <w:rsid w:val="00E043DA"/>
    <w:rsid w:val="00E42E28"/>
    <w:rsid w:val="00E9625D"/>
    <w:rsid w:val="00EC25D0"/>
    <w:rsid w:val="00EC3C0F"/>
    <w:rsid w:val="00EE6FC2"/>
    <w:rsid w:val="00EF26C9"/>
    <w:rsid w:val="00F15553"/>
    <w:rsid w:val="00F15CC4"/>
    <w:rsid w:val="00F62E01"/>
    <w:rsid w:val="00F736BA"/>
    <w:rsid w:val="00F8053F"/>
    <w:rsid w:val="00F85229"/>
    <w:rsid w:val="00FA52E1"/>
    <w:rsid w:val="0CC60D12"/>
    <w:rsid w:val="19121BF9"/>
    <w:rsid w:val="19190923"/>
    <w:rsid w:val="1AE568A7"/>
    <w:rsid w:val="21CC1BF0"/>
    <w:rsid w:val="51DF1A44"/>
    <w:rsid w:val="52CE181F"/>
    <w:rsid w:val="52CF094C"/>
    <w:rsid w:val="56737D72"/>
    <w:rsid w:val="5D637060"/>
    <w:rsid w:val="62945126"/>
    <w:rsid w:val="687F13F6"/>
    <w:rsid w:val="69CB51A1"/>
    <w:rsid w:val="6A595324"/>
    <w:rsid w:val="6DFF7904"/>
    <w:rsid w:val="6F7C4C64"/>
    <w:rsid w:val="7055155C"/>
    <w:rsid w:val="714B6075"/>
    <w:rsid w:val="72B94657"/>
    <w:rsid w:val="780E5033"/>
    <w:rsid w:val="7A614AAA"/>
    <w:rsid w:val="7EB01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iPriority="99" w:semiHidden="0" w:name="List Bullet 2"/>
    <w:lsdException w:qFormat="1" w:uiPriority="99" w:semiHidden="0" w:name="List Bullet 3"/>
    <w:lsdException w:qFormat="1" w:uiPriority="99"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numPr>
        <w:ilvl w:val="0"/>
        <w:numId w:val="1"/>
      </w:numPr>
      <w:adjustRightInd w:val="0"/>
      <w:snapToGrid w:val="0"/>
      <w:spacing w:beforeLines="50" w:line="360" w:lineRule="auto"/>
      <w:ind w:firstLine="0"/>
      <w:outlineLvl w:val="2"/>
    </w:pPr>
    <w:rPr>
      <w:rFonts w:ascii="Times New Roman" w:hAnsi="Times New Roman" w:eastAsia="仿宋_GB2312"/>
      <w:bCs/>
      <w:sz w:val="28"/>
      <w:szCs w:val="32"/>
    </w:rPr>
  </w:style>
  <w:style w:type="paragraph" w:styleId="5">
    <w:name w:val="heading 4"/>
    <w:basedOn w:val="1"/>
    <w:next w:val="6"/>
    <w:link w:val="46"/>
    <w:qFormat/>
    <w:uiPriority w:val="0"/>
    <w:pPr>
      <w:keepNext/>
      <w:widowControl/>
      <w:numPr>
        <w:ilvl w:val="0"/>
        <w:numId w:val="2"/>
      </w:numPr>
      <w:adjustRightInd w:val="0"/>
      <w:snapToGrid w:val="0"/>
      <w:spacing w:line="360" w:lineRule="auto"/>
      <w:ind w:firstLine="0"/>
      <w:textAlignment w:val="baseline"/>
      <w:outlineLvl w:val="3"/>
    </w:pPr>
    <w:rPr>
      <w:rFonts w:ascii="Times New Roman" w:hAnsi="Times New Roman" w:eastAsia="仿宋_GB2312" w:cs="Arial"/>
      <w:color w:val="000000"/>
      <w:sz w:val="28"/>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6">
    <w:name w:val="首行缩进"/>
    <w:basedOn w:val="1"/>
    <w:link w:val="56"/>
    <w:qFormat/>
    <w:uiPriority w:val="0"/>
    <w:pPr>
      <w:widowControl/>
      <w:spacing w:before="80" w:after="80" w:line="360" w:lineRule="auto"/>
      <w:ind w:firstLine="420" w:firstLineChars="200"/>
      <w:jc w:val="left"/>
    </w:pPr>
    <w:rPr>
      <w:rFonts w:ascii="Arial" w:hAnsi="Arial" w:cs="Arial"/>
      <w:szCs w:val="21"/>
    </w:rPr>
  </w:style>
  <w:style w:type="paragraph" w:styleId="7">
    <w:name w:val="List Bullet 4"/>
    <w:basedOn w:val="1"/>
    <w:unhideWhenUsed/>
    <w:qFormat/>
    <w:uiPriority w:val="99"/>
    <w:pPr>
      <w:widowControl/>
      <w:spacing w:before="100" w:beforeAutospacing="1" w:after="100" w:afterAutospacing="1" w:line="360" w:lineRule="auto"/>
      <w:ind w:firstLine="200" w:firstLineChars="200"/>
      <w:jc w:val="left"/>
    </w:pPr>
    <w:rPr>
      <w:rFonts w:ascii="宋体" w:hAnsi="宋体" w:cs="宋体"/>
      <w:kern w:val="0"/>
      <w:sz w:val="28"/>
    </w:rPr>
  </w:style>
  <w:style w:type="paragraph" w:styleId="8">
    <w:name w:val="Document Map"/>
    <w:basedOn w:val="1"/>
    <w:link w:val="49"/>
    <w:unhideWhenUsed/>
    <w:qFormat/>
    <w:uiPriority w:val="99"/>
    <w:pPr>
      <w:spacing w:line="360" w:lineRule="auto"/>
      <w:ind w:firstLine="200" w:firstLineChars="200"/>
    </w:pPr>
    <w:rPr>
      <w:rFonts w:ascii="宋体"/>
      <w:sz w:val="18"/>
      <w:szCs w:val="18"/>
    </w:rPr>
  </w:style>
  <w:style w:type="paragraph" w:styleId="9">
    <w:name w:val="annotation text"/>
    <w:basedOn w:val="1"/>
    <w:link w:val="50"/>
    <w:unhideWhenUsed/>
    <w:qFormat/>
    <w:uiPriority w:val="99"/>
    <w:pPr>
      <w:spacing w:line="360" w:lineRule="auto"/>
      <w:ind w:firstLine="200" w:firstLineChars="200"/>
      <w:jc w:val="left"/>
    </w:pPr>
    <w:rPr>
      <w:szCs w:val="22"/>
    </w:rPr>
  </w:style>
  <w:style w:type="paragraph" w:styleId="10">
    <w:name w:val="List Bullet 3"/>
    <w:basedOn w:val="1"/>
    <w:unhideWhenUsed/>
    <w:qFormat/>
    <w:uiPriority w:val="99"/>
    <w:pPr>
      <w:widowControl/>
      <w:jc w:val="center"/>
    </w:pPr>
    <w:rPr>
      <w:rFonts w:ascii="宋体" w:hAnsi="宋体" w:eastAsia="仿宋_GB2312" w:cs="宋体"/>
      <w:kern w:val="0"/>
      <w:sz w:val="28"/>
    </w:rPr>
  </w:style>
  <w:style w:type="paragraph" w:styleId="11">
    <w:name w:val="Body Text Indent"/>
    <w:basedOn w:val="1"/>
    <w:link w:val="47"/>
    <w:unhideWhenUsed/>
    <w:qFormat/>
    <w:uiPriority w:val="99"/>
    <w:pPr>
      <w:spacing w:after="120" w:line="360" w:lineRule="auto"/>
      <w:ind w:left="420" w:leftChars="200" w:firstLine="200" w:firstLineChars="200"/>
    </w:pPr>
    <w:rPr>
      <w:rFonts w:ascii="Times New Roman" w:hAnsi="Times New Roman" w:eastAsia="仿宋_GB2312" w:cstheme="minorBidi"/>
      <w:sz w:val="28"/>
      <w:szCs w:val="22"/>
    </w:rPr>
  </w:style>
  <w:style w:type="paragraph" w:styleId="12">
    <w:name w:val="List Bullet 2"/>
    <w:basedOn w:val="1"/>
    <w:unhideWhenUsed/>
    <w:qFormat/>
    <w:uiPriority w:val="99"/>
    <w:pPr>
      <w:widowControl/>
      <w:spacing w:before="100" w:beforeAutospacing="1" w:after="100" w:afterAutospacing="1" w:line="360" w:lineRule="auto"/>
      <w:ind w:firstLine="200" w:firstLineChars="200"/>
      <w:jc w:val="left"/>
    </w:pPr>
    <w:rPr>
      <w:rFonts w:ascii="宋体" w:hAnsi="宋体" w:cs="宋体"/>
      <w:kern w:val="0"/>
      <w:sz w:val="28"/>
    </w:rPr>
  </w:style>
  <w:style w:type="paragraph" w:styleId="13">
    <w:name w:val="toc 3"/>
    <w:basedOn w:val="1"/>
    <w:next w:val="1"/>
    <w:unhideWhenUsed/>
    <w:qFormat/>
    <w:uiPriority w:val="39"/>
    <w:pPr>
      <w:spacing w:line="360" w:lineRule="auto"/>
      <w:ind w:left="840" w:leftChars="400" w:firstLine="200" w:firstLineChars="200"/>
    </w:pPr>
    <w:rPr>
      <w:szCs w:val="22"/>
    </w:rPr>
  </w:style>
  <w:style w:type="paragraph" w:styleId="14">
    <w:name w:val="Balloon Text"/>
    <w:basedOn w:val="1"/>
    <w:link w:val="51"/>
    <w:unhideWhenUsed/>
    <w:qFormat/>
    <w:uiPriority w:val="99"/>
    <w:pPr>
      <w:spacing w:line="360" w:lineRule="auto"/>
      <w:ind w:firstLine="200" w:firstLineChars="200"/>
    </w:pPr>
    <w:rPr>
      <w:rFonts w:ascii="Times New Roman" w:hAnsi="Times New Roman" w:eastAsia="仿宋_GB2312" w:cstheme="minorBidi"/>
      <w:sz w:val="18"/>
      <w:szCs w:val="18"/>
    </w:rPr>
  </w:style>
  <w:style w:type="paragraph" w:styleId="15">
    <w:name w:val="footer"/>
    <w:basedOn w:val="1"/>
    <w:link w:val="33"/>
    <w:qFormat/>
    <w:uiPriority w:val="99"/>
    <w:pPr>
      <w:tabs>
        <w:tab w:val="center" w:pos="4153"/>
        <w:tab w:val="right" w:pos="8306"/>
      </w:tabs>
      <w:snapToGrid w:val="0"/>
      <w:jc w:val="left"/>
    </w:pPr>
    <w:rPr>
      <w:sz w:val="18"/>
      <w:szCs w:val="18"/>
    </w:rPr>
  </w:style>
  <w:style w:type="paragraph" w:styleId="16">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52"/>
    <w:qFormat/>
    <w:uiPriority w:val="99"/>
    <w:pPr>
      <w:spacing w:before="240" w:after="60" w:line="312" w:lineRule="auto"/>
      <w:ind w:firstLine="200" w:firstLineChars="200"/>
      <w:jc w:val="center"/>
      <w:outlineLvl w:val="1"/>
    </w:pPr>
    <w:rPr>
      <w:rFonts w:ascii="Cambria" w:hAnsi="Cambria"/>
      <w:b/>
      <w:bCs/>
      <w:kern w:val="28"/>
      <w:sz w:val="32"/>
      <w:szCs w:val="32"/>
    </w:rPr>
  </w:style>
  <w:style w:type="paragraph" w:styleId="18">
    <w:name w:val="toc 2"/>
    <w:basedOn w:val="1"/>
    <w:next w:val="1"/>
    <w:unhideWhenUsed/>
    <w:qFormat/>
    <w:uiPriority w:val="39"/>
    <w:pPr>
      <w:spacing w:line="360" w:lineRule="auto"/>
      <w:ind w:left="420" w:leftChars="200" w:firstLine="200" w:firstLineChars="200"/>
    </w:pPr>
    <w:rPr>
      <w:szCs w:val="22"/>
    </w:rPr>
  </w:style>
  <w:style w:type="paragraph" w:styleId="19">
    <w:name w:val="HTML Preformatted"/>
    <w:basedOn w:val="1"/>
    <w:link w:val="5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cs="宋体"/>
      <w:kern w:val="0"/>
      <w:sz w:val="2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1">
    <w:name w:val="Title"/>
    <w:basedOn w:val="1"/>
    <w:next w:val="1"/>
    <w:link w:val="54"/>
    <w:qFormat/>
    <w:uiPriority w:val="0"/>
    <w:pPr>
      <w:spacing w:before="240" w:after="60" w:line="360" w:lineRule="auto"/>
      <w:ind w:firstLine="200" w:firstLineChars="200"/>
      <w:jc w:val="center"/>
      <w:outlineLvl w:val="0"/>
    </w:pPr>
    <w:rPr>
      <w:rFonts w:asciiTheme="majorHAnsi" w:hAnsiTheme="majorHAnsi" w:eastAsiaTheme="majorEastAsia" w:cstheme="majorBidi"/>
      <w:b/>
      <w:bCs/>
      <w:sz w:val="32"/>
      <w:szCs w:val="32"/>
    </w:rPr>
  </w:style>
  <w:style w:type="paragraph" w:styleId="22">
    <w:name w:val="annotation subject"/>
    <w:basedOn w:val="9"/>
    <w:next w:val="9"/>
    <w:link w:val="55"/>
    <w:unhideWhenUsed/>
    <w:qFormat/>
    <w:uiPriority w:val="99"/>
    <w:rPr>
      <w:b/>
      <w:bCs/>
    </w:rPr>
  </w:style>
  <w:style w:type="paragraph" w:styleId="23">
    <w:name w:val="Body Text First Indent 2"/>
    <w:basedOn w:val="11"/>
    <w:link w:val="48"/>
    <w:unhideWhenUsed/>
    <w:qFormat/>
    <w:uiPriority w:val="99"/>
    <w:pPr>
      <w:ind w:firstLine="420"/>
    </w:pPr>
  </w:style>
  <w:style w:type="table" w:styleId="25">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7">
    <w:name w:val="Strong"/>
    <w:basedOn w:val="26"/>
    <w:qFormat/>
    <w:uiPriority w:val="22"/>
    <w:rPr>
      <w:rFonts w:eastAsia="仿宋_GB2312"/>
      <w:b/>
      <w:bCs/>
      <w:sz w:val="32"/>
    </w:rPr>
  </w:style>
  <w:style w:type="character" w:styleId="28">
    <w:name w:val="FollowedHyperlink"/>
    <w:basedOn w:val="26"/>
    <w:unhideWhenUsed/>
    <w:qFormat/>
    <w:uiPriority w:val="99"/>
    <w:rPr>
      <w:color w:val="954F72" w:themeColor="followedHyperlink"/>
      <w:u w:val="single"/>
      <w14:textFill>
        <w14:solidFill>
          <w14:schemeClr w14:val="folHlink"/>
        </w14:solidFill>
      </w14:textFill>
    </w:rPr>
  </w:style>
  <w:style w:type="character" w:styleId="29">
    <w:name w:val="Hyperlink"/>
    <w:unhideWhenUsed/>
    <w:qFormat/>
    <w:uiPriority w:val="99"/>
    <w:rPr>
      <w:color w:val="0000FF"/>
      <w:u w:val="single"/>
    </w:rPr>
  </w:style>
  <w:style w:type="character" w:styleId="30">
    <w:name w:val="HTML Code"/>
    <w:basedOn w:val="26"/>
    <w:unhideWhenUsed/>
    <w:qFormat/>
    <w:uiPriority w:val="99"/>
    <w:rPr>
      <w:rFonts w:ascii="宋体" w:hAnsi="宋体" w:eastAsia="宋体" w:cs="宋体"/>
      <w:sz w:val="24"/>
      <w:szCs w:val="24"/>
    </w:rPr>
  </w:style>
  <w:style w:type="character" w:styleId="31">
    <w:name w:val="annotation reference"/>
    <w:basedOn w:val="26"/>
    <w:unhideWhenUsed/>
    <w:qFormat/>
    <w:uiPriority w:val="99"/>
    <w:rPr>
      <w:sz w:val="21"/>
      <w:szCs w:val="21"/>
    </w:rPr>
  </w:style>
  <w:style w:type="character" w:customStyle="1" w:styleId="32">
    <w:name w:val="页眉 字符"/>
    <w:basedOn w:val="26"/>
    <w:link w:val="16"/>
    <w:qFormat/>
    <w:uiPriority w:val="99"/>
    <w:rPr>
      <w:kern w:val="2"/>
      <w:sz w:val="18"/>
      <w:szCs w:val="18"/>
    </w:rPr>
  </w:style>
  <w:style w:type="character" w:customStyle="1" w:styleId="33">
    <w:name w:val="页脚 字符"/>
    <w:basedOn w:val="26"/>
    <w:link w:val="15"/>
    <w:qFormat/>
    <w:uiPriority w:val="99"/>
    <w:rPr>
      <w:kern w:val="2"/>
      <w:sz w:val="18"/>
      <w:szCs w:val="18"/>
    </w:rPr>
  </w:style>
  <w:style w:type="character" w:customStyle="1" w:styleId="34">
    <w:name w:val="标题 2 字符"/>
    <w:basedOn w:val="26"/>
    <w:link w:val="3"/>
    <w:qFormat/>
    <w:uiPriority w:val="9"/>
    <w:rPr>
      <w:rFonts w:ascii="Cambria" w:hAnsi="Cambria"/>
      <w:b/>
      <w:bCs/>
      <w:kern w:val="2"/>
      <w:sz w:val="32"/>
      <w:szCs w:val="32"/>
    </w:rPr>
  </w:style>
  <w:style w:type="paragraph" w:customStyle="1" w:styleId="35">
    <w:name w:val="_Style 13"/>
    <w:basedOn w:val="1"/>
    <w:next w:val="36"/>
    <w:qFormat/>
    <w:uiPriority w:val="99"/>
    <w:pPr>
      <w:ind w:firstLine="420" w:firstLineChars="200"/>
    </w:pPr>
    <w:rPr>
      <w:szCs w:val="22"/>
    </w:rPr>
  </w:style>
  <w:style w:type="paragraph" w:styleId="36">
    <w:name w:val="List Paragraph"/>
    <w:basedOn w:val="1"/>
    <w:qFormat/>
    <w:uiPriority w:val="1"/>
    <w:pPr>
      <w:ind w:firstLine="420" w:firstLineChars="200"/>
    </w:pPr>
  </w:style>
  <w:style w:type="paragraph" w:customStyle="1" w:styleId="37">
    <w:name w:val="Table Paragraph"/>
    <w:basedOn w:val="1"/>
    <w:qFormat/>
    <w:uiPriority w:val="1"/>
    <w:pPr>
      <w:autoSpaceDE w:val="0"/>
      <w:autoSpaceDN w:val="0"/>
      <w:jc w:val="left"/>
    </w:pPr>
    <w:rPr>
      <w:rFonts w:ascii="Wawati SC" w:hAnsi="Wawati SC" w:eastAsia="Wawati SC" w:cs="Wawati SC"/>
      <w:kern w:val="0"/>
      <w:sz w:val="22"/>
      <w:szCs w:val="22"/>
    </w:rPr>
  </w:style>
  <w:style w:type="paragraph" w:customStyle="1" w:styleId="38">
    <w:name w:val="my1"/>
    <w:basedOn w:val="1"/>
    <w:link w:val="72"/>
    <w:qFormat/>
    <w:uiPriority w:val="0"/>
    <w:pPr>
      <w:numPr>
        <w:ilvl w:val="0"/>
        <w:numId w:val="3"/>
      </w:numPr>
      <w:spacing w:before="156" w:beforeLines="50" w:after="156" w:afterLines="50"/>
      <w:ind w:left="440" w:hanging="440"/>
      <w:outlineLvl w:val="0"/>
    </w:pPr>
    <w:rPr>
      <w:rFonts w:ascii="仿宋" w:hAnsi="Times New Roman" w:eastAsia="仿宋"/>
      <w:b/>
      <w:sz w:val="32"/>
      <w:szCs w:val="22"/>
    </w:rPr>
  </w:style>
  <w:style w:type="paragraph" w:customStyle="1" w:styleId="39">
    <w:name w:val="my2"/>
    <w:basedOn w:val="1"/>
    <w:link w:val="73"/>
    <w:qFormat/>
    <w:uiPriority w:val="0"/>
    <w:pPr>
      <w:numPr>
        <w:ilvl w:val="1"/>
        <w:numId w:val="3"/>
      </w:numPr>
      <w:spacing w:before="156" w:beforeLines="50" w:after="156" w:afterLines="50"/>
      <w:ind w:left="880" w:hanging="440"/>
      <w:outlineLvl w:val="1"/>
    </w:pPr>
    <w:rPr>
      <w:rFonts w:ascii="仿宋" w:hAnsi="Times New Roman" w:eastAsia="仿宋"/>
      <w:b/>
      <w:sz w:val="30"/>
      <w:szCs w:val="22"/>
    </w:rPr>
  </w:style>
  <w:style w:type="paragraph" w:customStyle="1" w:styleId="40">
    <w:name w:val="my3"/>
    <w:basedOn w:val="1"/>
    <w:link w:val="74"/>
    <w:qFormat/>
    <w:uiPriority w:val="0"/>
    <w:pPr>
      <w:numPr>
        <w:ilvl w:val="2"/>
        <w:numId w:val="3"/>
      </w:numPr>
      <w:spacing w:before="30" w:beforeLines="30" w:after="30" w:afterLines="30"/>
      <w:ind w:left="1320" w:hanging="440"/>
      <w:outlineLvl w:val="2"/>
    </w:pPr>
    <w:rPr>
      <w:rFonts w:ascii="仿宋" w:hAnsi="仿宋" w:eastAsia="仿宋"/>
    </w:rPr>
  </w:style>
  <w:style w:type="paragraph" w:customStyle="1" w:styleId="41">
    <w:name w:val="my4"/>
    <w:basedOn w:val="1"/>
    <w:link w:val="42"/>
    <w:qFormat/>
    <w:uiPriority w:val="0"/>
    <w:pPr>
      <w:numPr>
        <w:ilvl w:val="3"/>
        <w:numId w:val="3"/>
      </w:numPr>
    </w:pPr>
    <w:rPr>
      <w:rFonts w:ascii="仿宋" w:hAnsi="Times New Roman" w:eastAsia="仿宋"/>
      <w:szCs w:val="22"/>
    </w:rPr>
  </w:style>
  <w:style w:type="character" w:customStyle="1" w:styleId="42">
    <w:name w:val="my4 字符"/>
    <w:link w:val="41"/>
    <w:qFormat/>
    <w:uiPriority w:val="0"/>
    <w:rPr>
      <w:rFonts w:ascii="仿宋" w:hAnsi="Times New Roman" w:eastAsia="仿宋"/>
      <w:kern w:val="2"/>
      <w:sz w:val="21"/>
      <w:szCs w:val="22"/>
    </w:rPr>
  </w:style>
  <w:style w:type="paragraph" w:customStyle="1" w:styleId="43">
    <w:name w:val="my5"/>
    <w:basedOn w:val="1"/>
    <w:qFormat/>
    <w:uiPriority w:val="0"/>
    <w:pPr>
      <w:numPr>
        <w:ilvl w:val="4"/>
        <w:numId w:val="3"/>
      </w:numPr>
      <w:ind w:left="2200" w:hanging="440"/>
    </w:pPr>
    <w:rPr>
      <w:rFonts w:ascii="仿宋" w:eastAsia="仿宋"/>
      <w:sz w:val="24"/>
      <w:szCs w:val="22"/>
    </w:rPr>
  </w:style>
  <w:style w:type="character" w:customStyle="1" w:styleId="44">
    <w:name w:val="标题 1 字符"/>
    <w:basedOn w:val="26"/>
    <w:link w:val="2"/>
    <w:qFormat/>
    <w:uiPriority w:val="9"/>
    <w:rPr>
      <w:b/>
      <w:bCs/>
      <w:kern w:val="44"/>
      <w:sz w:val="44"/>
      <w:szCs w:val="44"/>
    </w:rPr>
  </w:style>
  <w:style w:type="character" w:customStyle="1" w:styleId="45">
    <w:name w:val="标题 3 字符"/>
    <w:basedOn w:val="26"/>
    <w:link w:val="4"/>
    <w:qFormat/>
    <w:uiPriority w:val="9"/>
    <w:rPr>
      <w:rFonts w:ascii="Times New Roman" w:hAnsi="Times New Roman" w:eastAsia="仿宋_GB2312"/>
      <w:bCs/>
      <w:kern w:val="2"/>
      <w:sz w:val="28"/>
      <w:szCs w:val="32"/>
    </w:rPr>
  </w:style>
  <w:style w:type="character" w:customStyle="1" w:styleId="46">
    <w:name w:val="标题 4 字符"/>
    <w:basedOn w:val="26"/>
    <w:link w:val="5"/>
    <w:qFormat/>
    <w:uiPriority w:val="0"/>
    <w:rPr>
      <w:rFonts w:ascii="Times New Roman" w:hAnsi="Times New Roman" w:eastAsia="仿宋_GB2312" w:cs="Arial"/>
      <w:color w:val="000000"/>
      <w:kern w:val="2"/>
      <w:sz w:val="28"/>
      <w:szCs w:val="21"/>
    </w:rPr>
  </w:style>
  <w:style w:type="character" w:customStyle="1" w:styleId="47">
    <w:name w:val="正文文本缩进 字符"/>
    <w:basedOn w:val="26"/>
    <w:link w:val="11"/>
    <w:qFormat/>
    <w:uiPriority w:val="99"/>
    <w:rPr>
      <w:rFonts w:ascii="Times New Roman" w:hAnsi="Times New Roman" w:eastAsia="仿宋_GB2312" w:cstheme="minorBidi"/>
      <w:kern w:val="2"/>
      <w:sz w:val="28"/>
      <w:szCs w:val="22"/>
    </w:rPr>
  </w:style>
  <w:style w:type="character" w:customStyle="1" w:styleId="48">
    <w:name w:val="正文文本首行缩进 2 字符"/>
    <w:basedOn w:val="47"/>
    <w:link w:val="23"/>
    <w:qFormat/>
    <w:uiPriority w:val="99"/>
    <w:rPr>
      <w:rFonts w:ascii="Times New Roman" w:hAnsi="Times New Roman" w:eastAsia="仿宋_GB2312" w:cstheme="minorBidi"/>
      <w:kern w:val="2"/>
      <w:sz w:val="28"/>
      <w:szCs w:val="22"/>
    </w:rPr>
  </w:style>
  <w:style w:type="character" w:customStyle="1" w:styleId="49">
    <w:name w:val="文档结构图 字符"/>
    <w:basedOn w:val="26"/>
    <w:link w:val="8"/>
    <w:qFormat/>
    <w:uiPriority w:val="99"/>
    <w:rPr>
      <w:rFonts w:ascii="宋体"/>
      <w:kern w:val="2"/>
      <w:sz w:val="18"/>
      <w:szCs w:val="18"/>
    </w:rPr>
  </w:style>
  <w:style w:type="character" w:customStyle="1" w:styleId="50">
    <w:name w:val="批注文字 字符"/>
    <w:basedOn w:val="26"/>
    <w:link w:val="9"/>
    <w:qFormat/>
    <w:uiPriority w:val="99"/>
    <w:rPr>
      <w:kern w:val="2"/>
      <w:sz w:val="21"/>
      <w:szCs w:val="22"/>
    </w:rPr>
  </w:style>
  <w:style w:type="character" w:customStyle="1" w:styleId="51">
    <w:name w:val="批注框文本 字符"/>
    <w:basedOn w:val="26"/>
    <w:link w:val="14"/>
    <w:qFormat/>
    <w:uiPriority w:val="99"/>
    <w:rPr>
      <w:rFonts w:ascii="Times New Roman" w:hAnsi="Times New Roman" w:eastAsia="仿宋_GB2312" w:cstheme="minorBidi"/>
      <w:kern w:val="2"/>
      <w:sz w:val="18"/>
      <w:szCs w:val="18"/>
    </w:rPr>
  </w:style>
  <w:style w:type="character" w:customStyle="1" w:styleId="52">
    <w:name w:val="副标题 字符"/>
    <w:basedOn w:val="26"/>
    <w:link w:val="17"/>
    <w:qFormat/>
    <w:uiPriority w:val="99"/>
    <w:rPr>
      <w:rFonts w:ascii="Cambria" w:hAnsi="Cambria"/>
      <w:b/>
      <w:bCs/>
      <w:kern w:val="28"/>
      <w:sz w:val="32"/>
      <w:szCs w:val="32"/>
    </w:rPr>
  </w:style>
  <w:style w:type="character" w:customStyle="1" w:styleId="53">
    <w:name w:val="HTML 预设格式 字符"/>
    <w:basedOn w:val="26"/>
    <w:link w:val="19"/>
    <w:qFormat/>
    <w:uiPriority w:val="99"/>
    <w:rPr>
      <w:rFonts w:ascii="宋体" w:hAnsi="宋体" w:cs="宋体"/>
      <w:sz w:val="28"/>
      <w:szCs w:val="24"/>
    </w:rPr>
  </w:style>
  <w:style w:type="character" w:customStyle="1" w:styleId="54">
    <w:name w:val="标题 字符"/>
    <w:basedOn w:val="26"/>
    <w:link w:val="21"/>
    <w:qFormat/>
    <w:uiPriority w:val="0"/>
    <w:rPr>
      <w:rFonts w:asciiTheme="majorHAnsi" w:hAnsiTheme="majorHAnsi" w:eastAsiaTheme="majorEastAsia" w:cstheme="majorBidi"/>
      <w:b/>
      <w:bCs/>
      <w:kern w:val="2"/>
      <w:sz w:val="32"/>
      <w:szCs w:val="32"/>
    </w:rPr>
  </w:style>
  <w:style w:type="character" w:customStyle="1" w:styleId="55">
    <w:name w:val="批注主题 字符"/>
    <w:basedOn w:val="50"/>
    <w:link w:val="22"/>
    <w:qFormat/>
    <w:uiPriority w:val="99"/>
    <w:rPr>
      <w:b/>
      <w:bCs/>
      <w:kern w:val="2"/>
      <w:sz w:val="21"/>
      <w:szCs w:val="22"/>
    </w:rPr>
  </w:style>
  <w:style w:type="character" w:customStyle="1" w:styleId="56">
    <w:name w:val="首行缩进 Char"/>
    <w:basedOn w:val="26"/>
    <w:link w:val="6"/>
    <w:qFormat/>
    <w:uiPriority w:val="0"/>
    <w:rPr>
      <w:rFonts w:ascii="Arial" w:hAnsi="Arial" w:cs="Arial"/>
      <w:kern w:val="2"/>
      <w:sz w:val="21"/>
      <w:szCs w:val="21"/>
    </w:rPr>
  </w:style>
  <w:style w:type="paragraph" w:customStyle="1" w:styleId="57">
    <w:name w:val="TOC 标题1"/>
    <w:basedOn w:val="2"/>
    <w:next w:val="1"/>
    <w:semiHidden/>
    <w:unhideWhenUsed/>
    <w:qFormat/>
    <w:uiPriority w:val="39"/>
    <w:pPr>
      <w:widowControl/>
      <w:spacing w:before="240" w:beforeLines="100" w:after="0" w:afterLines="100" w:line="276" w:lineRule="auto"/>
      <w:ind w:firstLine="200" w:firstLineChars="200"/>
      <w:jc w:val="left"/>
      <w:outlineLvl w:val="9"/>
    </w:pPr>
    <w:rPr>
      <w:rFonts w:ascii="Cambria" w:hAnsi="Cambria"/>
      <w:color w:val="365F91"/>
      <w:kern w:val="0"/>
      <w:sz w:val="28"/>
      <w:szCs w:val="28"/>
    </w:rPr>
  </w:style>
  <w:style w:type="paragraph" w:customStyle="1" w:styleId="58">
    <w:name w:val="Table Description"/>
    <w:next w:val="6"/>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59">
    <w:name w:val="Figure Description"/>
    <w:next w:val="6"/>
    <w:qFormat/>
    <w:uiPriority w:val="0"/>
    <w:pPr>
      <w:snapToGrid w:val="0"/>
      <w:spacing w:after="160"/>
      <w:jc w:val="center"/>
    </w:pPr>
    <w:rPr>
      <w:rFonts w:ascii="Arial" w:hAnsi="Arial" w:eastAsia="黑体" w:cs="Arial"/>
      <w:kern w:val="2"/>
      <w:sz w:val="18"/>
      <w:szCs w:val="21"/>
      <w:lang w:val="en-US" w:eastAsia="zh-CN" w:bidi="ar-SA"/>
    </w:rPr>
  </w:style>
  <w:style w:type="paragraph" w:customStyle="1" w:styleId="60">
    <w:name w:val="列出段落1"/>
    <w:basedOn w:val="1"/>
    <w:link w:val="62"/>
    <w:qFormat/>
    <w:uiPriority w:val="34"/>
    <w:pPr>
      <w:widowControl/>
      <w:adjustRightInd w:val="0"/>
      <w:snapToGrid w:val="0"/>
      <w:spacing w:after="200" w:line="360" w:lineRule="auto"/>
      <w:ind w:firstLine="420" w:firstLineChars="200"/>
      <w:jc w:val="left"/>
    </w:pPr>
    <w:rPr>
      <w:rFonts w:ascii="Tahoma" w:hAnsi="Tahoma" w:eastAsia="微软雅黑"/>
      <w:kern w:val="0"/>
      <w:sz w:val="22"/>
      <w:szCs w:val="22"/>
    </w:rPr>
  </w:style>
  <w:style w:type="paragraph" w:customStyle="1" w:styleId="61">
    <w:name w:val="彩色列表 - 强调文字颜色 11"/>
    <w:basedOn w:val="1"/>
    <w:qFormat/>
    <w:uiPriority w:val="34"/>
    <w:pPr>
      <w:widowControl/>
      <w:spacing w:line="360" w:lineRule="auto"/>
      <w:ind w:firstLine="420" w:firstLineChars="200"/>
      <w:jc w:val="left"/>
    </w:pPr>
    <w:rPr>
      <w:rFonts w:ascii="Times New Roman" w:hAnsi="Times New Roman"/>
      <w:kern w:val="0"/>
      <w:sz w:val="28"/>
      <w:lang w:bidi="th-TH"/>
    </w:rPr>
  </w:style>
  <w:style w:type="character" w:customStyle="1" w:styleId="62">
    <w:name w:val="列出段落 字符"/>
    <w:basedOn w:val="26"/>
    <w:link w:val="60"/>
    <w:qFormat/>
    <w:uiPriority w:val="34"/>
    <w:rPr>
      <w:rFonts w:ascii="Tahoma" w:hAnsi="Tahoma" w:eastAsia="微软雅黑"/>
      <w:sz w:val="22"/>
      <w:szCs w:val="22"/>
    </w:rPr>
  </w:style>
  <w:style w:type="paragraph" w:customStyle="1" w:styleId="63">
    <w:name w:val="列表段落1"/>
    <w:basedOn w:val="1"/>
    <w:qFormat/>
    <w:uiPriority w:val="0"/>
    <w:pPr>
      <w:spacing w:line="360" w:lineRule="auto"/>
      <w:ind w:firstLine="420" w:firstLineChars="200"/>
    </w:pPr>
    <w:rPr>
      <w:rFonts w:cs="Calibri"/>
      <w:szCs w:val="21"/>
    </w:rPr>
  </w:style>
  <w:style w:type="paragraph" w:customStyle="1" w:styleId="64">
    <w:name w:val="列表段落2"/>
    <w:basedOn w:val="1"/>
    <w:qFormat/>
    <w:uiPriority w:val="0"/>
    <w:pPr>
      <w:spacing w:line="360" w:lineRule="auto"/>
      <w:ind w:firstLine="420" w:firstLineChars="200"/>
    </w:pPr>
    <w:rPr>
      <w:rFonts w:cs="Calibri"/>
      <w:szCs w:val="21"/>
    </w:rPr>
  </w:style>
  <w:style w:type="character" w:customStyle="1" w:styleId="65">
    <w:name w:val="未处理的提及1"/>
    <w:basedOn w:val="26"/>
    <w:semiHidden/>
    <w:unhideWhenUsed/>
    <w:qFormat/>
    <w:uiPriority w:val="99"/>
    <w:rPr>
      <w:color w:val="605E5C"/>
      <w:shd w:val="clear" w:color="auto" w:fill="E1DFDD"/>
    </w:rPr>
  </w:style>
  <w:style w:type="character" w:customStyle="1" w:styleId="66">
    <w:name w:val="未处理的提及2"/>
    <w:basedOn w:val="26"/>
    <w:semiHidden/>
    <w:unhideWhenUsed/>
    <w:qFormat/>
    <w:uiPriority w:val="99"/>
    <w:rPr>
      <w:color w:val="605E5C"/>
      <w:shd w:val="clear" w:color="auto" w:fill="E1DFDD"/>
    </w:rPr>
  </w:style>
  <w:style w:type="character" w:customStyle="1" w:styleId="67">
    <w:name w:val="未处理的提及3"/>
    <w:basedOn w:val="26"/>
    <w:semiHidden/>
    <w:unhideWhenUsed/>
    <w:qFormat/>
    <w:uiPriority w:val="99"/>
    <w:rPr>
      <w:color w:val="605E5C"/>
      <w:shd w:val="clear" w:color="auto" w:fill="E1DFDD"/>
    </w:rPr>
  </w:style>
  <w:style w:type="character" w:customStyle="1" w:styleId="68">
    <w:name w:val="hljs-number"/>
    <w:basedOn w:val="26"/>
    <w:qFormat/>
    <w:uiPriority w:val="0"/>
  </w:style>
  <w:style w:type="character" w:customStyle="1" w:styleId="69">
    <w:name w:val="hljs-comment"/>
    <w:basedOn w:val="26"/>
    <w:qFormat/>
    <w:uiPriority w:val="0"/>
  </w:style>
  <w:style w:type="paragraph" w:customStyle="1" w:styleId="70">
    <w:name w:val="5级标题"/>
    <w:basedOn w:val="1"/>
    <w:qFormat/>
    <w:uiPriority w:val="0"/>
    <w:pPr>
      <w:spacing w:line="360" w:lineRule="auto"/>
      <w:ind w:firstLine="200" w:firstLineChars="200"/>
      <w:outlineLvl w:val="4"/>
    </w:pPr>
    <w:rPr>
      <w:rFonts w:ascii="微软雅黑" w:hAnsi="微软雅黑" w:eastAsia="微软雅黑"/>
      <w:b/>
      <w:sz w:val="28"/>
    </w:rPr>
  </w:style>
  <w:style w:type="paragraph" w:customStyle="1" w:styleId="71">
    <w:name w:val="Default"/>
    <w:qFormat/>
    <w:uiPriority w:val="0"/>
    <w:pPr>
      <w:widowControl w:val="0"/>
      <w:autoSpaceDE w:val="0"/>
      <w:autoSpaceDN w:val="0"/>
      <w:adjustRightInd w:val="0"/>
    </w:pPr>
    <w:rPr>
      <w:rFonts w:ascii="宋体棶.瓞.." w:hAnsi="Calibri" w:eastAsia="宋体棶.瓞.." w:cs="宋体棶.瓞.."/>
      <w:color w:val="000000"/>
      <w:sz w:val="24"/>
      <w:szCs w:val="24"/>
      <w:lang w:val="en-US" w:eastAsia="zh-CN" w:bidi="ar-SA"/>
    </w:rPr>
  </w:style>
  <w:style w:type="character" w:customStyle="1" w:styleId="72">
    <w:name w:val="my1 字符"/>
    <w:basedOn w:val="45"/>
    <w:link w:val="38"/>
    <w:qFormat/>
    <w:uiPriority w:val="0"/>
    <w:rPr>
      <w:rFonts w:ascii="仿宋" w:hAnsi="Times New Roman" w:eastAsia="仿宋"/>
      <w:b/>
      <w:bCs w:val="0"/>
      <w:kern w:val="2"/>
      <w:sz w:val="32"/>
      <w:szCs w:val="22"/>
    </w:rPr>
  </w:style>
  <w:style w:type="character" w:customStyle="1" w:styleId="73">
    <w:name w:val="my2 字符"/>
    <w:basedOn w:val="26"/>
    <w:link w:val="39"/>
    <w:qFormat/>
    <w:uiPriority w:val="0"/>
    <w:rPr>
      <w:rFonts w:ascii="仿宋" w:hAnsi="Times New Roman" w:eastAsia="仿宋"/>
      <w:b/>
      <w:kern w:val="2"/>
      <w:sz w:val="30"/>
      <w:szCs w:val="22"/>
    </w:rPr>
  </w:style>
  <w:style w:type="character" w:customStyle="1" w:styleId="74">
    <w:name w:val="my3 字符"/>
    <w:basedOn w:val="26"/>
    <w:link w:val="40"/>
    <w:qFormat/>
    <w:uiPriority w:val="0"/>
    <w:rPr>
      <w:rFonts w:ascii="仿宋" w:hAnsi="仿宋" w:eastAsia="仿宋"/>
      <w:kern w:val="2"/>
      <w:sz w:val="21"/>
      <w:szCs w:val="24"/>
    </w:rPr>
  </w:style>
  <w:style w:type="paragraph" w:customStyle="1" w:styleId="75">
    <w:name w:val="修订1"/>
    <w:hidden/>
    <w:semiHidden/>
    <w:qFormat/>
    <w:uiPriority w:val="99"/>
    <w:rPr>
      <w:rFonts w:ascii="Times New Roman" w:hAnsi="Times New Roman" w:eastAsia="仿宋_GB2312"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4933</Words>
  <Characters>28121</Characters>
  <Lines>234</Lines>
  <Paragraphs>65</Paragraphs>
  <TotalTime>2</TotalTime>
  <ScaleCrop>false</ScaleCrop>
  <LinksUpToDate>false</LinksUpToDate>
  <CharactersWithSpaces>32989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2023-04-15T02:31:00Z</dcterms:created>
  <dc:creator>HP</dc:creator>
  <cp:lastModifiedBy>FZD</cp:lastModifiedBy>
  <cp:lastPrinted>2023-04-15T06:18:00Z</cp:lastPrinted>
  <dcterms:modified xsi:type="dcterms:W3CDTF">2023-11-24T07:35:17Z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152BC133B41045A0A0F9BBE8C62533A4_12</vt:lpwstr>
  </property>
</Properties>
</file>