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方正小标宋简体" w:hAnsi="Times New Roman" w:eastAsia="方正小标宋简体"/>
          <w:color w:val="auto"/>
          <w:sz w:val="32"/>
          <w:szCs w:val="32"/>
          <w:highlight w:val="none"/>
        </w:rPr>
        <w:t>202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ascii="方正小标宋简体" w:hAnsi="Times New Roman" w:eastAsia="方正小标宋简体"/>
          <w:color w:val="auto"/>
          <w:sz w:val="32"/>
          <w:szCs w:val="32"/>
          <w:highlight w:val="none"/>
        </w:rPr>
        <w:t>年武威市中等职业学校技能大赛（学生组）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hAnsi="Times New Roman" w:eastAsia="方正小标宋简体"/>
          <w:color w:val="auto"/>
          <w:sz w:val="32"/>
          <w:szCs w:val="32"/>
          <w:highlight w:val="none"/>
        </w:rPr>
        <w:t>建筑设备安装与调控赛项</w:t>
      </w:r>
      <w:r>
        <w:rPr>
          <w:rFonts w:ascii="方正小标宋简体" w:hAnsi="Times New Roman" w:eastAsia="方正小标宋简体"/>
          <w:color w:val="auto"/>
          <w:sz w:val="32"/>
          <w:szCs w:val="32"/>
          <w:highlight w:val="none"/>
        </w:rPr>
        <w:t>规程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一、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赛项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名称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建筑设备安装与调控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二、竞赛时间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2023年</w:t>
      </w:r>
      <w:r>
        <w:rPr>
          <w:rFonts w:hint="eastAsia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2月</w:t>
      </w:r>
      <w:r>
        <w:rPr>
          <w:rFonts w:hint="eastAsia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日——</w:t>
      </w:r>
      <w:r>
        <w:rPr>
          <w:rFonts w:hint="eastAsia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2月</w:t>
      </w:r>
      <w:r>
        <w:rPr>
          <w:rFonts w:hint="eastAsia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日</w:t>
      </w:r>
    </w:p>
    <w:p>
      <w:pPr>
        <w:widowControl/>
        <w:spacing w:line="580" w:lineRule="exact"/>
        <w:ind w:firstLine="562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三、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竞赛地点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甘肃省理工中等专业学校建筑实训中心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四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、竞赛方式与内容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（一）竞赛方式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建筑设备安装与调控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赛项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为团体赛，以校为单位组队参赛，不得跨校组队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，每队限报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2名指导教师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。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（二）组队要求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.全市各级各类中等职业学校、技工学校202</w:t>
      </w:r>
      <w:r>
        <w:rPr>
          <w:rFonts w:hint="eastAsia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级、202</w:t>
      </w:r>
      <w:r>
        <w:rPr>
          <w:rFonts w:hint="eastAsia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级学生，不限性别。大赛期间，各代表队须为每位参赛选手办理意外伤害险，否则不予参赛。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2.每个参赛队由2人组成，应在规定的时间内完成竞赛任务书要求的全部内容。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（三）竞赛内容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参赛选手利用赛场提供的工具和设备，在规定的时间内，按照任务书要求完成设备指定部分的安装的工作。满分</w:t>
      </w:r>
      <w:r>
        <w:rPr>
          <w:rFonts w:hint="eastAsia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120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分，竞赛时间为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分钟。竞赛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工作任务和考查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内容包括：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1．管材加工连接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和设备安装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参赛选手根据任务书的要求，选手从提供的管材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和配件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中选择相应的管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材和配件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进行切割和连接，完成消防系统和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排水系统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相应管道的切割连接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和设备安装，考查选手对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消防系统和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排水系统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相应管道的切割连接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和设备安装的准确性与规范性；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2．工具使用方法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在进行管材加工连接和设备安装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的同时考查选手工具使用的正确性与规范性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；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3．职业素养与安全意识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在竞赛的全过程中考查选手的职业素养与安全意识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。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五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、赛场提供的设备和器材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竞赛组委会统一提供THPWSD-1型给排水设备安装与控制实训装置，耗材统一提供，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选手可自带手动镀锌钢管割刀和手动镀锌钢管套丝机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。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六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、成绩评定与奖项设定</w:t>
      </w:r>
    </w:p>
    <w:p>
      <w:pPr>
        <w:widowControl/>
        <w:spacing w:line="580" w:lineRule="exact"/>
        <w:ind w:firstLine="562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成绩评定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参赛选手的成绩评定由大赛执委会裁判组负责。根据在规定时间内选手完成工作任务的情况进行评分，满分为</w:t>
      </w:r>
      <w:r>
        <w:rPr>
          <w:rFonts w:hint="eastAsia" w:eastAsia="仿宋" w:cs="Times New Roman"/>
          <w:bCs/>
          <w:color w:val="auto"/>
          <w:sz w:val="28"/>
          <w:szCs w:val="28"/>
          <w:highlight w:val="none"/>
          <w:lang w:val="en-US" w:eastAsia="zh-CN"/>
        </w:rPr>
        <w:t>120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分。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1.竞赛成绩评定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具体根据裁判组制定的评分标准进行评分。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2．违规扣分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选手有下列情形，需从参赛成绩中扣分：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在完成工作任务的过程中，因操作不当导致事故，视情节扣10～20分，情况严重者取消比赛资格。因违规操作损坏赛场提供的设备，污染赛场环境等不符合职业规范的行为，视情节扣5～10分。扰乱赛场秩序，干扰裁判员工作，视情节扣5～10分，情况严重者取消比赛资格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 xml:space="preserve">3．名次确定 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 xml:space="preserve">本次大赛比赛名次依据以下排名规则顺序排列： 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1）根据成绩排名，即总成绩较高者，名次在前。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2）总成绩相同者，比赛所用时间较短者，名次在前。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3）比赛所用时间相同者,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管材加工连接环节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实操技能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成绩较高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者，名次在前。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</w:rPr>
        <w:t>奖项设定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1.参赛选手奖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获奖比例为该项目参赛人数（组数）的15%，25%，35%（小数点后一位四舍五入），不设优秀奖。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2.指导教师奖</w:t>
      </w:r>
    </w:p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</w:rPr>
        <w:t>为一等奖选手的指导教师颁发优秀指导教师奖</w:t>
      </w:r>
      <w:r>
        <w:rPr>
          <w:rFonts w:hint="eastAsia" w:ascii="Times New Roman" w:hAnsi="Times New Roman" w:eastAsia="仿宋" w:cs="Times New Roman"/>
          <w:bCs/>
          <w:color w:val="auto"/>
          <w:sz w:val="28"/>
          <w:szCs w:val="28"/>
          <w:highlight w:val="none"/>
          <w:lang w:eastAsia="zh-CN"/>
        </w:rPr>
        <w:t>。</w:t>
      </w:r>
    </w:p>
    <w:p>
      <w:pPr>
        <w:widowControl/>
        <w:spacing w:line="580" w:lineRule="exact"/>
        <w:ind w:firstLine="562" w:firstLineChars="200"/>
        <w:jc w:val="left"/>
        <w:rPr>
          <w:rFonts w:hint="eastAsia" w:ascii="Times New Roman" w:hAnsi="Times New Roman" w:eastAsia="仿宋" w:cs="Times New Roman"/>
          <w:bCs/>
          <w:sz w:val="28"/>
          <w:szCs w:val="28"/>
          <w:highlight w:val="none"/>
        </w:rPr>
      </w:pP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highlight w:val="none"/>
          <w:lang w:eastAsia="zh-CN"/>
        </w:rPr>
        <w:t>七</w:t>
      </w:r>
      <w:r>
        <w:rPr>
          <w:rFonts w:hint="eastAsia" w:ascii="Times New Roman" w:hAnsi="Times New Roman" w:eastAsia="仿宋" w:cs="Times New Roman"/>
          <w:b/>
          <w:bCs w:val="0"/>
          <w:sz w:val="28"/>
          <w:szCs w:val="28"/>
          <w:highlight w:val="none"/>
        </w:rPr>
        <w:t>、建筑设备安装与调控竞赛日程安排</w:t>
      </w:r>
    </w:p>
    <w:tbl>
      <w:tblPr>
        <w:tblStyle w:val="3"/>
        <w:tblW w:w="9963" w:type="dxa"/>
        <w:tblInd w:w="-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788"/>
        <w:gridCol w:w="3125"/>
        <w:gridCol w:w="3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日期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时间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内容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center"/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12月3日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15:00—16:00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赛前会议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实验实训楼五楼多功能会议厅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16:00—17:00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查看竞赛场地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综合实训楼负一楼建筑实训中心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12月4日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7:20—8:00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抽签、检录入场，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检查竞赛设备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综合实训楼负一楼建筑实训中心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0"/>
                <w:szCs w:val="20"/>
                <w:highlight w:val="none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8:00—17:00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建筑设备安装与调控竞赛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综合实训楼负一楼建筑实训中心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12月5日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8:00—17:00</w:t>
            </w:r>
          </w:p>
        </w:tc>
        <w:tc>
          <w:tcPr>
            <w:tcW w:w="3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建筑设备安装与调控竞赛</w:t>
            </w:r>
          </w:p>
        </w:tc>
        <w:tc>
          <w:tcPr>
            <w:tcW w:w="3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99" w:rightChars="47"/>
              <w:jc w:val="left"/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"/>
              </w:rPr>
              <w:t>综合实训楼负一楼建筑实训中心</w:t>
            </w:r>
          </w:p>
        </w:tc>
      </w:tr>
    </w:tbl>
    <w:p>
      <w:pPr>
        <w:widowControl/>
        <w:spacing w:line="580" w:lineRule="exact"/>
        <w:ind w:firstLine="560" w:firstLineChars="200"/>
        <w:jc w:val="left"/>
        <w:rPr>
          <w:rFonts w:hint="eastAsia" w:ascii="Times New Roman" w:hAnsi="Times New Roman" w:eastAsia="仿宋" w:cs="Times New Roman"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NzU2MzlmNmFmMGU5ZWI2N2NiNWNhNzRjNTY4OWYifQ=="/>
  </w:docVars>
  <w:rsids>
    <w:rsidRoot w:val="00000000"/>
    <w:rsid w:val="001339C0"/>
    <w:rsid w:val="008322BB"/>
    <w:rsid w:val="010551D2"/>
    <w:rsid w:val="01D34D54"/>
    <w:rsid w:val="020177D2"/>
    <w:rsid w:val="0235791B"/>
    <w:rsid w:val="023B2ABD"/>
    <w:rsid w:val="035E318C"/>
    <w:rsid w:val="03BE3397"/>
    <w:rsid w:val="05087233"/>
    <w:rsid w:val="05392AD0"/>
    <w:rsid w:val="06157197"/>
    <w:rsid w:val="0648490A"/>
    <w:rsid w:val="06502AC3"/>
    <w:rsid w:val="06523B0D"/>
    <w:rsid w:val="06547192"/>
    <w:rsid w:val="07FB1D08"/>
    <w:rsid w:val="0802440D"/>
    <w:rsid w:val="08B84ACC"/>
    <w:rsid w:val="09632BA6"/>
    <w:rsid w:val="097968C5"/>
    <w:rsid w:val="0AB319EF"/>
    <w:rsid w:val="0C3E79DE"/>
    <w:rsid w:val="0D1C0884"/>
    <w:rsid w:val="0D7C6A10"/>
    <w:rsid w:val="0D961154"/>
    <w:rsid w:val="0DFA7935"/>
    <w:rsid w:val="0FD0094D"/>
    <w:rsid w:val="103564EA"/>
    <w:rsid w:val="10374E70"/>
    <w:rsid w:val="104B2354"/>
    <w:rsid w:val="112B0245"/>
    <w:rsid w:val="114B71A1"/>
    <w:rsid w:val="11704661"/>
    <w:rsid w:val="11D55DCF"/>
    <w:rsid w:val="12363B1F"/>
    <w:rsid w:val="12B517AF"/>
    <w:rsid w:val="13ED1400"/>
    <w:rsid w:val="13F9007D"/>
    <w:rsid w:val="148055AE"/>
    <w:rsid w:val="14BB2783"/>
    <w:rsid w:val="15D32F45"/>
    <w:rsid w:val="16204180"/>
    <w:rsid w:val="16930262"/>
    <w:rsid w:val="16A63753"/>
    <w:rsid w:val="17022710"/>
    <w:rsid w:val="171A6205"/>
    <w:rsid w:val="197C77C1"/>
    <w:rsid w:val="19C20A02"/>
    <w:rsid w:val="1AA8309F"/>
    <w:rsid w:val="1B5A7C65"/>
    <w:rsid w:val="1B854457"/>
    <w:rsid w:val="1BAD7F1D"/>
    <w:rsid w:val="1DA13847"/>
    <w:rsid w:val="1E9569D2"/>
    <w:rsid w:val="1F4B7AAA"/>
    <w:rsid w:val="1F513865"/>
    <w:rsid w:val="20BD316F"/>
    <w:rsid w:val="20C53DD2"/>
    <w:rsid w:val="20DD181A"/>
    <w:rsid w:val="21117017"/>
    <w:rsid w:val="21690C01"/>
    <w:rsid w:val="21DD1C35"/>
    <w:rsid w:val="22A527B2"/>
    <w:rsid w:val="2396517F"/>
    <w:rsid w:val="23C465C3"/>
    <w:rsid w:val="245931AF"/>
    <w:rsid w:val="25CE6E7A"/>
    <w:rsid w:val="25FF7B02"/>
    <w:rsid w:val="26D12C43"/>
    <w:rsid w:val="270E3D6E"/>
    <w:rsid w:val="27721A94"/>
    <w:rsid w:val="27A26C1B"/>
    <w:rsid w:val="280879C8"/>
    <w:rsid w:val="280D0539"/>
    <w:rsid w:val="28A55E51"/>
    <w:rsid w:val="28B44F82"/>
    <w:rsid w:val="28D9041B"/>
    <w:rsid w:val="28DA6BA2"/>
    <w:rsid w:val="28F76CEE"/>
    <w:rsid w:val="29CF33E6"/>
    <w:rsid w:val="2A1B493E"/>
    <w:rsid w:val="2C1B1902"/>
    <w:rsid w:val="2C3D2F49"/>
    <w:rsid w:val="2C606A23"/>
    <w:rsid w:val="2C9F5E1F"/>
    <w:rsid w:val="2CE153AC"/>
    <w:rsid w:val="2DAD1E76"/>
    <w:rsid w:val="2DCC054E"/>
    <w:rsid w:val="2DCF241D"/>
    <w:rsid w:val="2E075A2A"/>
    <w:rsid w:val="2E3C58C8"/>
    <w:rsid w:val="2EF06796"/>
    <w:rsid w:val="30313A8F"/>
    <w:rsid w:val="30E738F1"/>
    <w:rsid w:val="30EE44CE"/>
    <w:rsid w:val="30FD03D6"/>
    <w:rsid w:val="3168102C"/>
    <w:rsid w:val="318A5F0D"/>
    <w:rsid w:val="31E816AE"/>
    <w:rsid w:val="32546045"/>
    <w:rsid w:val="32585608"/>
    <w:rsid w:val="32B02A38"/>
    <w:rsid w:val="32D35803"/>
    <w:rsid w:val="334E2AE3"/>
    <w:rsid w:val="341F06DF"/>
    <w:rsid w:val="3439628A"/>
    <w:rsid w:val="354111EE"/>
    <w:rsid w:val="36341386"/>
    <w:rsid w:val="36CF7301"/>
    <w:rsid w:val="380A2199"/>
    <w:rsid w:val="38BA4810"/>
    <w:rsid w:val="399D1F62"/>
    <w:rsid w:val="3AC0577F"/>
    <w:rsid w:val="3B9C6EF5"/>
    <w:rsid w:val="3BB575A4"/>
    <w:rsid w:val="3C002CCF"/>
    <w:rsid w:val="3C656005"/>
    <w:rsid w:val="3E0046A2"/>
    <w:rsid w:val="3E245F08"/>
    <w:rsid w:val="3E8F4CDF"/>
    <w:rsid w:val="3EEE396F"/>
    <w:rsid w:val="3F6920E8"/>
    <w:rsid w:val="3F77024B"/>
    <w:rsid w:val="405745EF"/>
    <w:rsid w:val="4125649B"/>
    <w:rsid w:val="414E6C67"/>
    <w:rsid w:val="4194717D"/>
    <w:rsid w:val="41E53E7C"/>
    <w:rsid w:val="43383B24"/>
    <w:rsid w:val="43784453"/>
    <w:rsid w:val="446F6CAC"/>
    <w:rsid w:val="451E1D60"/>
    <w:rsid w:val="455C47D6"/>
    <w:rsid w:val="460E7E52"/>
    <w:rsid w:val="467034FA"/>
    <w:rsid w:val="467D4631"/>
    <w:rsid w:val="471364B7"/>
    <w:rsid w:val="483B0352"/>
    <w:rsid w:val="49D12E44"/>
    <w:rsid w:val="4ABA214F"/>
    <w:rsid w:val="4B7A0555"/>
    <w:rsid w:val="4C4A5D44"/>
    <w:rsid w:val="4C567884"/>
    <w:rsid w:val="4C6D3873"/>
    <w:rsid w:val="4D224231"/>
    <w:rsid w:val="4DE35714"/>
    <w:rsid w:val="4E5A0CBA"/>
    <w:rsid w:val="4E8F109C"/>
    <w:rsid w:val="4EA01857"/>
    <w:rsid w:val="4EDD1A0C"/>
    <w:rsid w:val="4EEB733C"/>
    <w:rsid w:val="4F9C61F4"/>
    <w:rsid w:val="4F9D19A6"/>
    <w:rsid w:val="4FE45004"/>
    <w:rsid w:val="51005BBB"/>
    <w:rsid w:val="522355AF"/>
    <w:rsid w:val="524A7CED"/>
    <w:rsid w:val="529F7C39"/>
    <w:rsid w:val="531E2D4A"/>
    <w:rsid w:val="560373E4"/>
    <w:rsid w:val="56FA7C91"/>
    <w:rsid w:val="57573FF1"/>
    <w:rsid w:val="57FE425F"/>
    <w:rsid w:val="58853E48"/>
    <w:rsid w:val="590964CD"/>
    <w:rsid w:val="593F368D"/>
    <w:rsid w:val="59427F42"/>
    <w:rsid w:val="5954047E"/>
    <w:rsid w:val="59981AA8"/>
    <w:rsid w:val="5A184997"/>
    <w:rsid w:val="5C7834CB"/>
    <w:rsid w:val="5D533B7A"/>
    <w:rsid w:val="5DAB5B22"/>
    <w:rsid w:val="5E3141E7"/>
    <w:rsid w:val="5E5F0447"/>
    <w:rsid w:val="5E7529AB"/>
    <w:rsid w:val="5F1D2B10"/>
    <w:rsid w:val="5F2913F5"/>
    <w:rsid w:val="5FDF3132"/>
    <w:rsid w:val="600A4C7F"/>
    <w:rsid w:val="604069F6"/>
    <w:rsid w:val="60AC1A06"/>
    <w:rsid w:val="6107256A"/>
    <w:rsid w:val="621C478F"/>
    <w:rsid w:val="623B25E8"/>
    <w:rsid w:val="62AC32D3"/>
    <w:rsid w:val="63B80B23"/>
    <w:rsid w:val="661A5C79"/>
    <w:rsid w:val="6676236E"/>
    <w:rsid w:val="66EB2440"/>
    <w:rsid w:val="67173FBA"/>
    <w:rsid w:val="671B7D67"/>
    <w:rsid w:val="671C194E"/>
    <w:rsid w:val="672D2A60"/>
    <w:rsid w:val="676236F6"/>
    <w:rsid w:val="67DF5046"/>
    <w:rsid w:val="685272BE"/>
    <w:rsid w:val="68C13BE3"/>
    <w:rsid w:val="697973AA"/>
    <w:rsid w:val="699C6CE9"/>
    <w:rsid w:val="69FD788E"/>
    <w:rsid w:val="6A162576"/>
    <w:rsid w:val="6A702141"/>
    <w:rsid w:val="6AB853DB"/>
    <w:rsid w:val="6AEC01A7"/>
    <w:rsid w:val="6B0F45F0"/>
    <w:rsid w:val="6B5E623E"/>
    <w:rsid w:val="6BCE135A"/>
    <w:rsid w:val="6C1E5314"/>
    <w:rsid w:val="6C406E13"/>
    <w:rsid w:val="6D26269E"/>
    <w:rsid w:val="6DA001EB"/>
    <w:rsid w:val="6DD86497"/>
    <w:rsid w:val="6F771317"/>
    <w:rsid w:val="6FAD4C7B"/>
    <w:rsid w:val="70742A54"/>
    <w:rsid w:val="71010829"/>
    <w:rsid w:val="716B4B60"/>
    <w:rsid w:val="73ED7CA9"/>
    <w:rsid w:val="745279C7"/>
    <w:rsid w:val="74BB693D"/>
    <w:rsid w:val="75431833"/>
    <w:rsid w:val="75502DDF"/>
    <w:rsid w:val="75861C35"/>
    <w:rsid w:val="762E5F22"/>
    <w:rsid w:val="76716703"/>
    <w:rsid w:val="76B72015"/>
    <w:rsid w:val="77601049"/>
    <w:rsid w:val="785E022B"/>
    <w:rsid w:val="790F79DB"/>
    <w:rsid w:val="79CD33ED"/>
    <w:rsid w:val="7B451DEC"/>
    <w:rsid w:val="7B8368FA"/>
    <w:rsid w:val="7C230645"/>
    <w:rsid w:val="7C391342"/>
    <w:rsid w:val="7D851A94"/>
    <w:rsid w:val="7DC97D66"/>
    <w:rsid w:val="7E9C2F67"/>
    <w:rsid w:val="7F4253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1229</Words>
  <Characters>1309</Characters>
  <Lines>1</Lines>
  <Paragraphs>1</Paragraphs>
  <TotalTime>24</TotalTime>
  <ScaleCrop>false</ScaleCrop>
  <LinksUpToDate>false</LinksUpToDate>
  <CharactersWithSpaces>1311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</cp:lastModifiedBy>
  <dcterms:modified xsi:type="dcterms:W3CDTF">2023-11-15T02:46:12Z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577294D0F73F42AD8F4BF3FE231FEFB6</vt:lpwstr>
  </property>
</Properties>
</file>